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F2AB5" w14:textId="4F2C3AED" w:rsidR="00301660" w:rsidRPr="007341A2" w:rsidRDefault="00301660" w:rsidP="00C3081F">
      <w:pPr>
        <w:pStyle w:val="3GPPHeader"/>
        <w:tabs>
          <w:tab w:val="clear" w:pos="9639"/>
          <w:tab w:val="right" w:pos="10348"/>
        </w:tabs>
        <w:spacing w:after="60"/>
        <w:rPr>
          <w:highlight w:val="yellow"/>
        </w:rPr>
      </w:pPr>
      <w:bookmarkStart w:id="0" w:name="OLE_LINK1"/>
      <w:bookmarkStart w:id="1" w:name="OLE_LINK2"/>
      <w:bookmarkStart w:id="2" w:name="_GoBack"/>
      <w:bookmarkEnd w:id="2"/>
      <w:r>
        <w:rPr>
          <w:lang w:val="en-US"/>
        </w:rPr>
        <w:t>3GPP TSG-RAN WG1 Meeting #92</w:t>
      </w:r>
      <w:r w:rsidRPr="00CE0424">
        <w:tab/>
      </w:r>
      <w:r>
        <w:t xml:space="preserve">   </w:t>
      </w:r>
      <w:r w:rsidR="0011547A" w:rsidRPr="0011547A">
        <w:t>R1-1802519</w:t>
      </w:r>
    </w:p>
    <w:p w14:paraId="343AB265" w14:textId="5BBC69A1" w:rsidR="005F6E84" w:rsidRPr="00301660" w:rsidRDefault="00301660" w:rsidP="00301660">
      <w:pPr>
        <w:pStyle w:val="3GPPHeader"/>
        <w:rPr>
          <w:rFonts w:eastAsia="MS Mincho" w:cs="Arial"/>
          <w:bCs/>
          <w:noProof/>
          <w:szCs w:val="24"/>
          <w:lang w:eastAsia="ja-JP"/>
        </w:rPr>
      </w:pPr>
      <w:r>
        <w:t>Athens, Greece,</w:t>
      </w:r>
      <w:r w:rsidRPr="000A1D33">
        <w:t xml:space="preserve"> </w:t>
      </w:r>
      <w:r>
        <w:t>26</w:t>
      </w:r>
      <w:r w:rsidRPr="00961CAF">
        <w:rPr>
          <w:vertAlign w:val="superscript"/>
        </w:rPr>
        <w:t>th</w:t>
      </w:r>
      <w:r>
        <w:t xml:space="preserve"> February – 2</w:t>
      </w:r>
      <w:r w:rsidRPr="00961CAF">
        <w:rPr>
          <w:vertAlign w:val="superscript"/>
        </w:rPr>
        <w:t>nd</w:t>
      </w:r>
      <w:r>
        <w:t xml:space="preserve"> March </w:t>
      </w:r>
      <w:r w:rsidRPr="00301660">
        <w:rPr>
          <w:rFonts w:eastAsia="MS Mincho" w:cs="Arial"/>
          <w:bCs/>
          <w:noProof/>
          <w:szCs w:val="24"/>
          <w:lang w:eastAsia="ja-JP"/>
        </w:rPr>
        <w:t xml:space="preserve">2018                               </w:t>
      </w:r>
      <w:r>
        <w:rPr>
          <w:rFonts w:eastAsia="MS Mincho" w:cs="Arial"/>
          <w:bCs/>
          <w:noProof/>
          <w:szCs w:val="24"/>
          <w:lang w:eastAsia="ja-JP"/>
        </w:rPr>
        <w:t xml:space="preserve"> </w:t>
      </w: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542FAB5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C4333D">
        <w:rPr>
          <w:sz w:val="22"/>
          <w:szCs w:val="22"/>
          <w:lang w:val="en-US"/>
        </w:rPr>
        <w:t>Transmit diversity solutions for Rel-15 PSCCH and PSSCH transmissions</w:t>
      </w:r>
    </w:p>
    <w:p w14:paraId="39122C3D" w14:textId="6D223FA3" w:rsidR="007736B9" w:rsidRPr="00C844BE" w:rsidRDefault="007736B9" w:rsidP="007736B9">
      <w:pPr>
        <w:pStyle w:val="TdocHeader2"/>
        <w:jc w:val="left"/>
        <w:rPr>
          <w:sz w:val="22"/>
          <w:szCs w:val="22"/>
          <w:lang w:val="en-US"/>
        </w:rPr>
      </w:pPr>
      <w:bookmarkStart w:id="4" w:name="_Ref477771975"/>
      <w:bookmarkEnd w:id="0"/>
      <w:bookmarkEnd w:id="1"/>
      <w:r w:rsidRPr="00C844BE">
        <w:rPr>
          <w:sz w:val="22"/>
          <w:szCs w:val="22"/>
          <w:lang w:val="en-US"/>
        </w:rPr>
        <w:t>Agenda Item:</w:t>
      </w:r>
      <w:r w:rsidRPr="00C844BE">
        <w:rPr>
          <w:sz w:val="22"/>
          <w:szCs w:val="22"/>
          <w:lang w:val="en-US"/>
        </w:rPr>
        <w:tab/>
      </w:r>
      <w:r w:rsidR="00325C81" w:rsidRPr="00C3081F">
        <w:rPr>
          <w:sz w:val="22"/>
          <w:szCs w:val="22"/>
          <w:lang w:val="en-US"/>
        </w:rPr>
        <w:t>6</w:t>
      </w:r>
      <w:r w:rsidR="005F6E84" w:rsidRPr="00C3081F">
        <w:rPr>
          <w:sz w:val="22"/>
          <w:szCs w:val="22"/>
          <w:lang w:val="en-US"/>
        </w:rPr>
        <w:t>.2.3.3.1</w:t>
      </w:r>
      <w:r w:rsidR="005F6E84">
        <w:t xml:space="preserve"> </w:t>
      </w:r>
    </w:p>
    <w:p w14:paraId="0937EC4A" w14:textId="77777777" w:rsidR="007736B9" w:rsidRPr="001E25A7" w:rsidRDefault="007736B9" w:rsidP="007736B9">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275415A3" w14:textId="77777777" w:rsidR="00D77223" w:rsidRDefault="00D77223" w:rsidP="008A63F4">
      <w:pPr>
        <w:pStyle w:val="Heading1"/>
      </w:pPr>
      <w:r w:rsidRPr="007F1723">
        <w:t>Introduction</w:t>
      </w:r>
      <w:bookmarkEnd w:id="4"/>
    </w:p>
    <w:p w14:paraId="73BA8DC2" w14:textId="0E6200FA"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sidR="00467871">
        <w:rPr>
          <w:sz w:val="20"/>
          <w:szCs w:val="20"/>
        </w:rPr>
        <w:fldChar w:fldCharType="begin"/>
      </w:r>
      <w:r w:rsidR="00467871">
        <w:rPr>
          <w:sz w:val="20"/>
          <w:szCs w:val="20"/>
        </w:rPr>
        <w:instrText xml:space="preserve"> REF _Ref494462036 \r \h </w:instrText>
      </w:r>
      <w:r w:rsidR="00467871">
        <w:rPr>
          <w:sz w:val="20"/>
          <w:szCs w:val="20"/>
        </w:rPr>
      </w:r>
      <w:r w:rsidR="00467871">
        <w:rPr>
          <w:sz w:val="20"/>
          <w:szCs w:val="20"/>
        </w:rPr>
        <w:fldChar w:fldCharType="separate"/>
      </w:r>
      <w:r w:rsidR="007D58D3">
        <w:rPr>
          <w:sz w:val="20"/>
          <w:szCs w:val="20"/>
        </w:rPr>
        <w:t>[1]</w:t>
      </w:r>
      <w:r w:rsidR="00467871">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76EF5B23" w14:textId="5CF60D53" w:rsidR="004F6116" w:rsidRDefault="004F6116" w:rsidP="00CC2D84">
      <w:pPr>
        <w:pStyle w:val="ListParagraph"/>
        <w:numPr>
          <w:ilvl w:val="0"/>
          <w:numId w:val="11"/>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66A21B6"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536544F2" w14:textId="53079755"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4A4F60FE" w14:textId="095D2F79" w:rsidR="00FC3F08" w:rsidRDefault="00FC3F08" w:rsidP="002D7FD1">
      <w:pPr>
        <w:jc w:val="both"/>
        <w:rPr>
          <w:rFonts w:eastAsia="MS Mincho"/>
          <w:lang w:val="en-US" w:eastAsia="ja-JP"/>
        </w:rPr>
      </w:pPr>
      <w:r>
        <w:rPr>
          <w:lang w:val="en-US"/>
        </w:rPr>
        <w:t xml:space="preserve">Then, in </w:t>
      </w:r>
      <w:r>
        <w:rPr>
          <w:rFonts w:eastAsia="MS Mincho"/>
          <w:lang w:val="en-US" w:eastAsia="ja-JP"/>
        </w:rPr>
        <w:t>RAN1#89</w:t>
      </w:r>
      <w:r w:rsidR="00236AB5">
        <w:rPr>
          <w:rFonts w:eastAsia="MS Mincho"/>
          <w:lang w:val="en-US" w:eastAsia="ja-JP"/>
        </w:rPr>
        <w:t xml:space="preserve"> </w:t>
      </w:r>
      <w:r w:rsidR="00765B77">
        <w:rPr>
          <w:rFonts w:eastAsia="MS Mincho"/>
          <w:lang w:val="en-US" w:eastAsia="ja-JP"/>
        </w:rPr>
        <w:fldChar w:fldCharType="begin"/>
      </w:r>
      <w:r w:rsidR="00765B77">
        <w:rPr>
          <w:rFonts w:eastAsia="MS Mincho"/>
          <w:lang w:val="en-US" w:eastAsia="ja-JP"/>
        </w:rPr>
        <w:instrText xml:space="preserve"> REF _Ref494461017 \r \h </w:instrText>
      </w:r>
      <w:r w:rsidR="00765B77">
        <w:rPr>
          <w:rFonts w:eastAsia="MS Mincho"/>
          <w:lang w:val="en-US" w:eastAsia="ja-JP"/>
        </w:rPr>
      </w:r>
      <w:r w:rsidR="00765B77">
        <w:rPr>
          <w:rFonts w:eastAsia="MS Mincho"/>
          <w:lang w:val="en-US" w:eastAsia="ja-JP"/>
        </w:rPr>
        <w:fldChar w:fldCharType="separate"/>
      </w:r>
      <w:r w:rsidR="002E3BA5">
        <w:rPr>
          <w:rFonts w:eastAsia="MS Mincho"/>
          <w:lang w:val="en-US" w:eastAsia="ja-JP"/>
        </w:rPr>
        <w:t>[2]</w:t>
      </w:r>
      <w:r w:rsidR="00765B77">
        <w:rPr>
          <w:rFonts w:eastAsia="MS Mincho"/>
          <w:lang w:val="en-US" w:eastAsia="ja-JP"/>
        </w:rPr>
        <w:fldChar w:fldCharType="end"/>
      </w:r>
      <w:r>
        <w:rPr>
          <w:rFonts w:eastAsia="MS Mincho"/>
          <w:lang w:val="en-US" w:eastAsia="ja-JP"/>
        </w:rPr>
        <w:t>, the following was agreed.</w:t>
      </w:r>
    </w:p>
    <w:p w14:paraId="10D42E88" w14:textId="77777777" w:rsidR="00FC3F08" w:rsidRPr="00F85A57" w:rsidRDefault="00FC3F08" w:rsidP="00FC3F08">
      <w:pPr>
        <w:pStyle w:val="BodyText"/>
        <w:spacing w:after="240"/>
        <w:rPr>
          <w:sz w:val="20"/>
          <w:szCs w:val="20"/>
        </w:rPr>
      </w:pPr>
      <w:r w:rsidRPr="00F85A57">
        <w:rPr>
          <w:sz w:val="20"/>
          <w:szCs w:val="20"/>
          <w:highlight w:val="green"/>
        </w:rPr>
        <w:t>Agreement:</w:t>
      </w:r>
      <w:r w:rsidRPr="00F85A57">
        <w:rPr>
          <w:sz w:val="20"/>
          <w:szCs w:val="20"/>
        </w:rPr>
        <w:t xml:space="preserve"> </w:t>
      </w:r>
    </w:p>
    <w:p w14:paraId="1A8F91AC" w14:textId="2CA1845C" w:rsidR="00FC3F08" w:rsidRDefault="00FC3F08" w:rsidP="00CC2D84">
      <w:pPr>
        <w:pStyle w:val="BodyText"/>
        <w:numPr>
          <w:ilvl w:val="0"/>
          <w:numId w:val="8"/>
        </w:numPr>
        <w:spacing w:before="240" w:after="240"/>
        <w:jc w:val="both"/>
        <w:rPr>
          <w:sz w:val="20"/>
          <w:szCs w:val="20"/>
        </w:rPr>
      </w:pPr>
      <w:r w:rsidRPr="00F85A57">
        <w:rPr>
          <w:sz w:val="20"/>
          <w:szCs w:val="20"/>
        </w:rPr>
        <w:t>Legacy Rel-14 DMRS pattern with single antenna port, including time-frequency location, sequence, and cyclic shift, is applied to PSCCH transmission.</w:t>
      </w:r>
    </w:p>
    <w:p w14:paraId="2A945589" w14:textId="1B855EB2" w:rsidR="00777164" w:rsidRDefault="00777164" w:rsidP="00777164">
      <w:pPr>
        <w:spacing w:after="0"/>
        <w:rPr>
          <w:rFonts w:eastAsia="MS Mincho"/>
          <w:lang w:val="en-US" w:eastAsia="ja-JP"/>
        </w:rPr>
      </w:pPr>
      <w:r>
        <w:rPr>
          <w:rFonts w:eastAsia="MS Mincho"/>
          <w:iCs/>
          <w:lang w:val="en-US" w:eastAsia="ja-JP"/>
        </w:rPr>
        <w:t xml:space="preserve">In </w:t>
      </w:r>
      <w:r>
        <w:rPr>
          <w:rFonts w:eastAsia="MS Mincho"/>
          <w:lang w:val="en-US" w:eastAsia="ja-JP"/>
        </w:rPr>
        <w:t xml:space="preserve">RAN1#90 </w:t>
      </w:r>
      <w:r w:rsidR="00765B77">
        <w:rPr>
          <w:rFonts w:eastAsia="MS Mincho"/>
          <w:lang w:val="en-US" w:eastAsia="ja-JP"/>
        </w:rPr>
        <w:fldChar w:fldCharType="begin"/>
      </w:r>
      <w:r w:rsidR="00765B77">
        <w:rPr>
          <w:rFonts w:eastAsia="MS Mincho"/>
          <w:lang w:val="en-US" w:eastAsia="ja-JP"/>
        </w:rPr>
        <w:instrText xml:space="preserve"> REF _Ref494461055 \r \h </w:instrText>
      </w:r>
      <w:r w:rsidR="00765B77">
        <w:rPr>
          <w:rFonts w:eastAsia="MS Mincho"/>
          <w:lang w:val="en-US" w:eastAsia="ja-JP"/>
        </w:rPr>
      </w:r>
      <w:r w:rsidR="00765B77">
        <w:rPr>
          <w:rFonts w:eastAsia="MS Mincho"/>
          <w:lang w:val="en-US" w:eastAsia="ja-JP"/>
        </w:rPr>
        <w:fldChar w:fldCharType="separate"/>
      </w:r>
      <w:r w:rsidR="002E3BA5">
        <w:rPr>
          <w:rFonts w:eastAsia="MS Mincho"/>
          <w:lang w:val="en-US" w:eastAsia="ja-JP"/>
        </w:rPr>
        <w:t>[3]</w:t>
      </w:r>
      <w:r w:rsidR="00765B77">
        <w:rPr>
          <w:rFonts w:eastAsia="MS Mincho"/>
          <w:lang w:val="en-US" w:eastAsia="ja-JP"/>
        </w:rPr>
        <w:fldChar w:fldCharType="end"/>
      </w:r>
      <w:r>
        <w:rPr>
          <w:rFonts w:eastAsia="MS Mincho"/>
          <w:lang w:val="en-US" w:eastAsia="ja-JP"/>
        </w:rPr>
        <w:t xml:space="preserve">, the following working assumptions were summarized from offline discussions. </w:t>
      </w:r>
    </w:p>
    <w:p w14:paraId="17A22949" w14:textId="77777777" w:rsidR="00777164" w:rsidRDefault="00777164" w:rsidP="00777164">
      <w:pPr>
        <w:spacing w:after="0"/>
        <w:rPr>
          <w:rFonts w:eastAsia="MS Mincho"/>
          <w:lang w:val="en-US" w:eastAsia="ja-JP"/>
        </w:rPr>
      </w:pPr>
    </w:p>
    <w:p w14:paraId="4316980E" w14:textId="77777777" w:rsidR="00777164" w:rsidRPr="008C0147" w:rsidRDefault="00777164" w:rsidP="00777164">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54D43650"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6C34841C"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35BD1956"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3281D920"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3A737525"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A61E215"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182B3113"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4C0659AD"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MPR for Rel-15 UEs</w:t>
      </w:r>
    </w:p>
    <w:p w14:paraId="2AAB2F65"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0445FE9A"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communicating with Rel-14 UEs</w:t>
      </w:r>
    </w:p>
    <w:p w14:paraId="0C45034F"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there is a high probability of resource collision with Rel-14 UEs</w:t>
      </w:r>
    </w:p>
    <w:p w14:paraId="4B5F8594" w14:textId="3BEF7123" w:rsidR="00777164" w:rsidRPr="00777164" w:rsidRDefault="00777164" w:rsidP="00CC2D84">
      <w:pPr>
        <w:numPr>
          <w:ilvl w:val="0"/>
          <w:numId w:val="15"/>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6BD42075" w14:textId="2B3FF3AD" w:rsidR="00777164" w:rsidRDefault="00342DA1" w:rsidP="00C3081F">
      <w:pPr>
        <w:tabs>
          <w:tab w:val="left" w:pos="1440"/>
        </w:tabs>
        <w:spacing w:before="240" w:after="0"/>
        <w:rPr>
          <w:rFonts w:eastAsia="MS Mincho"/>
          <w:lang w:val="en-US" w:eastAsia="ja-JP"/>
        </w:rPr>
      </w:pPr>
      <w:r>
        <w:rPr>
          <w:rFonts w:eastAsia="MS Mincho"/>
          <w:lang w:val="en-US" w:eastAsia="ja-JP"/>
        </w:rPr>
        <w:t xml:space="preserve">In RAN1#90bis </w:t>
      </w:r>
      <w:r w:rsidR="00DC6A6A">
        <w:rPr>
          <w:rFonts w:eastAsia="MS Mincho"/>
          <w:lang w:val="en-US" w:eastAsia="ja-JP"/>
        </w:rPr>
        <w:fldChar w:fldCharType="begin"/>
      </w:r>
      <w:r w:rsidR="00DC6A6A">
        <w:rPr>
          <w:rFonts w:eastAsia="MS Mincho"/>
          <w:lang w:val="en-US" w:eastAsia="ja-JP"/>
        </w:rPr>
        <w:instrText xml:space="preserve"> REF _Ref506365149 \r \h </w:instrText>
      </w:r>
      <w:r w:rsidR="00DC6A6A">
        <w:rPr>
          <w:rFonts w:eastAsia="MS Mincho"/>
          <w:lang w:val="en-US" w:eastAsia="ja-JP"/>
        </w:rPr>
      </w:r>
      <w:r w:rsidR="00DC6A6A">
        <w:rPr>
          <w:rFonts w:eastAsia="MS Mincho"/>
          <w:lang w:val="en-US" w:eastAsia="ja-JP"/>
        </w:rPr>
        <w:fldChar w:fldCharType="separate"/>
      </w:r>
      <w:r w:rsidR="007D58D3">
        <w:rPr>
          <w:rFonts w:eastAsia="MS Mincho"/>
          <w:lang w:val="en-US" w:eastAsia="ja-JP"/>
        </w:rPr>
        <w:t>[4]</w:t>
      </w:r>
      <w:r w:rsidR="00DC6A6A">
        <w:rPr>
          <w:rFonts w:eastAsia="MS Mincho"/>
          <w:lang w:val="en-US" w:eastAsia="ja-JP"/>
        </w:rPr>
        <w:fldChar w:fldCharType="end"/>
      </w:r>
      <w:r>
        <w:rPr>
          <w:rFonts w:eastAsia="MS Mincho"/>
          <w:lang w:val="en-US" w:eastAsia="ja-JP"/>
        </w:rPr>
        <w:t>, the following was agreed.</w:t>
      </w:r>
    </w:p>
    <w:p w14:paraId="329DB7B2" w14:textId="77777777" w:rsidR="00342DA1" w:rsidRDefault="00342DA1" w:rsidP="00342DA1">
      <w:pPr>
        <w:ind w:left="1440" w:hanging="1440"/>
      </w:pPr>
      <w:r w:rsidRPr="003427BF">
        <w:rPr>
          <w:highlight w:val="green"/>
        </w:rPr>
        <w:t>Agreement</w:t>
      </w:r>
      <w:r>
        <w:t>:</w:t>
      </w:r>
    </w:p>
    <w:p w14:paraId="679D05C6" w14:textId="77777777" w:rsidR="00342DA1" w:rsidRPr="003427BF" w:rsidRDefault="00342DA1" w:rsidP="00342DA1">
      <w:pPr>
        <w:numPr>
          <w:ilvl w:val="0"/>
          <w:numId w:val="20"/>
        </w:numPr>
        <w:spacing w:after="0"/>
        <w:rPr>
          <w:lang w:val="en-US"/>
        </w:rPr>
      </w:pPr>
      <w:r w:rsidRPr="00273860">
        <w:t xml:space="preserve">For PSCCH, small delay CDD </w:t>
      </w:r>
      <w:r>
        <w:t>can be</w:t>
      </w:r>
      <w:r w:rsidRPr="00273860">
        <w:t xml:space="preserve"> </w:t>
      </w:r>
      <w:r>
        <w:t>used on PSCCH</w:t>
      </w:r>
    </w:p>
    <w:p w14:paraId="0DF35C2B" w14:textId="09ECC3C3" w:rsidR="00342DA1" w:rsidRPr="00272E9A" w:rsidRDefault="00342DA1" w:rsidP="00342DA1">
      <w:pPr>
        <w:numPr>
          <w:ilvl w:val="1"/>
          <w:numId w:val="20"/>
        </w:numPr>
        <w:spacing w:after="0"/>
        <w:rPr>
          <w:lang w:val="en-US"/>
        </w:rPr>
      </w:pPr>
      <w:r w:rsidRPr="00273860">
        <w:t>FFS whether the cyclic delay value is specified or left for UE implementation</w:t>
      </w:r>
    </w:p>
    <w:p w14:paraId="5B1ED599" w14:textId="48F52C8B" w:rsidR="00272E9A" w:rsidRDefault="00272E9A" w:rsidP="00272E9A">
      <w:pPr>
        <w:spacing w:after="0"/>
      </w:pPr>
    </w:p>
    <w:p w14:paraId="00BAA1CC" w14:textId="3CB828A9" w:rsidR="00272E9A" w:rsidRDefault="00272E9A" w:rsidP="00272E9A">
      <w:pPr>
        <w:spacing w:after="0"/>
        <w:rPr>
          <w:rFonts w:eastAsia="MS Mincho"/>
          <w:lang w:val="en-US" w:eastAsia="ja-JP"/>
        </w:rPr>
      </w:pPr>
      <w:r>
        <w:t>In RAN1</w:t>
      </w:r>
      <w:r>
        <w:rPr>
          <w:rFonts w:eastAsia="MS Mincho"/>
          <w:lang w:val="en-US" w:eastAsia="ja-JP"/>
        </w:rPr>
        <w:t>#91</w:t>
      </w:r>
      <w:r w:rsidR="00C97730">
        <w:rPr>
          <w:rFonts w:eastAsia="MS Mincho"/>
          <w:lang w:val="en-US" w:eastAsia="ja-JP"/>
        </w:rPr>
        <w:t xml:space="preserve"> </w:t>
      </w:r>
      <w:r w:rsidR="00C97730">
        <w:rPr>
          <w:rFonts w:eastAsia="MS Mincho"/>
          <w:lang w:val="en-US" w:eastAsia="ja-JP"/>
        </w:rPr>
        <w:fldChar w:fldCharType="begin"/>
      </w:r>
      <w:r w:rsidR="00C97730">
        <w:rPr>
          <w:rFonts w:eastAsia="MS Mincho"/>
          <w:lang w:val="en-US" w:eastAsia="ja-JP"/>
        </w:rPr>
        <w:instrText xml:space="preserve"> REF _Ref506292582 \n \h </w:instrText>
      </w:r>
      <w:r w:rsidR="00C97730">
        <w:rPr>
          <w:rFonts w:eastAsia="MS Mincho"/>
          <w:lang w:val="en-US" w:eastAsia="ja-JP"/>
        </w:rPr>
      </w:r>
      <w:r w:rsidR="00C97730">
        <w:rPr>
          <w:rFonts w:eastAsia="MS Mincho"/>
          <w:lang w:val="en-US" w:eastAsia="ja-JP"/>
        </w:rPr>
        <w:fldChar w:fldCharType="separate"/>
      </w:r>
      <w:r w:rsidR="002E3BA5">
        <w:rPr>
          <w:rFonts w:eastAsia="MS Mincho"/>
          <w:lang w:val="en-US" w:eastAsia="ja-JP"/>
        </w:rPr>
        <w:t>[5]</w:t>
      </w:r>
      <w:r w:rsidR="00C97730">
        <w:rPr>
          <w:rFonts w:eastAsia="MS Mincho"/>
          <w:lang w:val="en-US" w:eastAsia="ja-JP"/>
        </w:rPr>
        <w:fldChar w:fldCharType="end"/>
      </w:r>
      <w:r>
        <w:rPr>
          <w:rFonts w:eastAsia="MS Mincho"/>
          <w:lang w:val="en-US" w:eastAsia="ja-JP"/>
        </w:rPr>
        <w:t>, the following was agreed.</w:t>
      </w:r>
    </w:p>
    <w:p w14:paraId="53D67455" w14:textId="77777777" w:rsidR="00272E9A" w:rsidRPr="00736896" w:rsidRDefault="00272E9A" w:rsidP="00272E9A">
      <w:pPr>
        <w:rPr>
          <w:rFonts w:eastAsia="Yu Mincho"/>
          <w:lang w:eastAsia="ja-JP"/>
        </w:rPr>
      </w:pPr>
      <w:r w:rsidRPr="00736896">
        <w:rPr>
          <w:rFonts w:eastAsia="Yu Mincho"/>
          <w:highlight w:val="green"/>
          <w:lang w:eastAsia="ja-JP"/>
        </w:rPr>
        <w:t>Agreement</w:t>
      </w:r>
    </w:p>
    <w:p w14:paraId="6539C19C" w14:textId="77777777" w:rsidR="00272E9A" w:rsidRPr="00736896" w:rsidRDefault="00272E9A" w:rsidP="00272E9A">
      <w:pPr>
        <w:numPr>
          <w:ilvl w:val="0"/>
          <w:numId w:val="21"/>
        </w:numPr>
        <w:spacing w:after="0"/>
        <w:rPr>
          <w:rFonts w:eastAsia="Yu Mincho"/>
          <w:lang w:val="en-US" w:eastAsia="ja-JP"/>
        </w:rPr>
      </w:pPr>
      <w:r w:rsidRPr="00736896">
        <w:rPr>
          <w:rFonts w:eastAsia="Yu Mincho"/>
          <w:lang w:val="en-US" w:eastAsia="ja-JP"/>
        </w:rPr>
        <w:t xml:space="preserve">Assuming the previous WA of introducing non-transparent transmit diversity is confirmed, for two-port non-transparent transmit diversity for PSSCH, </w:t>
      </w:r>
      <w:r w:rsidRPr="00736896">
        <w:rPr>
          <w:rFonts w:eastAsia="Yu Mincho"/>
          <w:lang w:eastAsia="ja-JP"/>
        </w:rPr>
        <w:t xml:space="preserve">downselect option 1 as WA among the following candidate schemes </w:t>
      </w:r>
    </w:p>
    <w:p w14:paraId="73C56A9D" w14:textId="77777777" w:rsidR="00272E9A" w:rsidRPr="00736896" w:rsidRDefault="00272E9A" w:rsidP="00272E9A">
      <w:pPr>
        <w:numPr>
          <w:ilvl w:val="1"/>
          <w:numId w:val="21"/>
        </w:numPr>
        <w:spacing w:after="0"/>
        <w:rPr>
          <w:rFonts w:eastAsia="Yu Mincho"/>
          <w:lang w:val="en-US" w:eastAsia="ja-JP"/>
        </w:rPr>
      </w:pPr>
      <w:r w:rsidRPr="00736896">
        <w:rPr>
          <w:rFonts w:eastAsia="Yu Mincho"/>
          <w:highlight w:val="darkYellow"/>
          <w:lang w:eastAsia="ja-JP"/>
        </w:rPr>
        <w:t>Working assumption:</w:t>
      </w:r>
      <w:r w:rsidRPr="00736896">
        <w:rPr>
          <w:rFonts w:eastAsia="Yu Mincho"/>
          <w:lang w:eastAsia="ja-JP"/>
        </w:rPr>
        <w:t xml:space="preserve"> Option 1: SFBC-based scheme (including PAPR preserving)</w:t>
      </w:r>
    </w:p>
    <w:p w14:paraId="77980D48" w14:textId="77777777" w:rsidR="00272E9A" w:rsidRPr="00736896" w:rsidRDefault="00272E9A" w:rsidP="00272E9A">
      <w:pPr>
        <w:numPr>
          <w:ilvl w:val="2"/>
          <w:numId w:val="21"/>
        </w:numPr>
        <w:spacing w:after="0"/>
        <w:rPr>
          <w:rFonts w:eastAsia="Yu Mincho"/>
          <w:lang w:val="en-US" w:eastAsia="ja-JP"/>
        </w:rPr>
      </w:pPr>
      <w:r w:rsidRPr="00736896">
        <w:rPr>
          <w:rFonts w:eastAsia="Yu Mincho"/>
          <w:lang w:eastAsia="ja-JP"/>
        </w:rPr>
        <w:t xml:space="preserve">FFS whether to apply slot-level PVS </w:t>
      </w:r>
    </w:p>
    <w:p w14:paraId="1F4273ED" w14:textId="77777777" w:rsidR="00272E9A" w:rsidRPr="00736896" w:rsidRDefault="00272E9A" w:rsidP="00272E9A">
      <w:pPr>
        <w:numPr>
          <w:ilvl w:val="1"/>
          <w:numId w:val="21"/>
        </w:numPr>
        <w:spacing w:after="0"/>
        <w:rPr>
          <w:rFonts w:eastAsia="Yu Mincho"/>
          <w:lang w:val="en-US" w:eastAsia="ja-JP"/>
        </w:rPr>
      </w:pPr>
      <w:r w:rsidRPr="00736896">
        <w:rPr>
          <w:rFonts w:eastAsia="Yu Mincho"/>
          <w:lang w:eastAsia="ja-JP"/>
        </w:rPr>
        <w:t>Option 2: STBC-based (including half symbol)</w:t>
      </w:r>
    </w:p>
    <w:p w14:paraId="53660CCF" w14:textId="77777777" w:rsidR="00272E9A" w:rsidRPr="00736896" w:rsidRDefault="00272E9A" w:rsidP="00272E9A">
      <w:pPr>
        <w:rPr>
          <w:rFonts w:eastAsia="Yu Mincho"/>
          <w:lang w:eastAsia="ja-JP"/>
        </w:rPr>
      </w:pPr>
      <w:r w:rsidRPr="00736896">
        <w:rPr>
          <w:rFonts w:eastAsia="Yu Mincho" w:hint="eastAsia"/>
          <w:lang w:eastAsia="ja-JP"/>
        </w:rPr>
        <w:t>N</w:t>
      </w:r>
      <w:r w:rsidRPr="00736896">
        <w:rPr>
          <w:rFonts w:eastAsia="Yu Mincho"/>
          <w:lang w:eastAsia="ja-JP"/>
        </w:rPr>
        <w:t>ote: Companies are encouraged to perform evaluations for the above options</w:t>
      </w:r>
    </w:p>
    <w:p w14:paraId="21FBCC39" w14:textId="501BCBC9" w:rsidR="00272E9A" w:rsidRPr="00272E9A" w:rsidRDefault="00272E9A" w:rsidP="00272E9A">
      <w:pPr>
        <w:spacing w:after="0"/>
      </w:pPr>
      <w:r>
        <w:lastRenderedPageBreak/>
        <w:t>Moreover, RAN4 has provided the response to RAN1’s LS in R1-1801310 (R4-1713925)</w:t>
      </w:r>
      <w:r w:rsidR="00C97730">
        <w:t xml:space="preserve"> </w:t>
      </w:r>
      <w:r w:rsidR="00C97730">
        <w:fldChar w:fldCharType="begin"/>
      </w:r>
      <w:r w:rsidR="00C97730">
        <w:instrText xml:space="preserve"> REF _Ref506292678 \n \h </w:instrText>
      </w:r>
      <w:r w:rsidR="00C97730">
        <w:fldChar w:fldCharType="separate"/>
      </w:r>
      <w:r w:rsidR="002E3BA5">
        <w:t>[6]</w:t>
      </w:r>
      <w:r w:rsidR="00C97730">
        <w:fldChar w:fldCharType="end"/>
      </w:r>
      <w:r>
        <w:t>.</w:t>
      </w:r>
      <w:r w:rsidR="00311B9B">
        <w:t xml:space="preserve"> In particular, </w:t>
      </w:r>
      <w:r w:rsidR="009C011C">
        <w:t xml:space="preserve">they have evaluated the MPR for Rel-15 UEs and evaluated the impacts on the receiver performance of Rel-14 UEs in the presence of single-port or multi-port interferer(s). </w:t>
      </w:r>
    </w:p>
    <w:p w14:paraId="68D79C8D" w14:textId="77777777" w:rsidR="00342DA1" w:rsidRPr="00272E9A" w:rsidRDefault="00342DA1" w:rsidP="00342DA1">
      <w:pPr>
        <w:tabs>
          <w:tab w:val="left" w:pos="1440"/>
        </w:tabs>
        <w:spacing w:after="0"/>
        <w:rPr>
          <w:rFonts w:eastAsia="MS Mincho"/>
          <w:lang w:eastAsia="ja-JP"/>
        </w:rPr>
      </w:pPr>
    </w:p>
    <w:p w14:paraId="22CA6823" w14:textId="549B8A7A" w:rsidR="0069038F" w:rsidRPr="0069038F" w:rsidRDefault="0085245E" w:rsidP="00B369A1">
      <w:pPr>
        <w:jc w:val="both"/>
      </w:pPr>
      <w:r w:rsidRPr="0070331C">
        <w:t>In this contribution</w:t>
      </w:r>
      <w:r w:rsidR="000543DA">
        <w:t>,</w:t>
      </w:r>
      <w:r w:rsidRPr="0070331C">
        <w:t xml:space="preserve"> we discuss </w:t>
      </w:r>
      <w:r w:rsidR="00342DA1">
        <w:t>the cyclic delay value of CDD scheme applied to PSCCH transmission and the transmit diversity scheme</w:t>
      </w:r>
      <w:r w:rsidR="0070331C" w:rsidRPr="0070331C">
        <w:t xml:space="preserve"> </w:t>
      </w:r>
      <w:r w:rsidR="00342DA1">
        <w:t>applied to</w:t>
      </w:r>
      <w:r w:rsidR="0070331C" w:rsidRPr="0070331C">
        <w:t xml:space="preserve"> PSSCH tr</w:t>
      </w:r>
      <w:r w:rsidR="00342DA1">
        <w:t>ansmission</w:t>
      </w:r>
      <w:r w:rsidR="0070331C" w:rsidRPr="0070331C">
        <w:t xml:space="preserve">. </w:t>
      </w:r>
      <w:r w:rsidR="00777164">
        <w:t>The a</w:t>
      </w:r>
      <w:r w:rsidR="0070331C" w:rsidRPr="00A17A98">
        <w:t xml:space="preserve">ssociated DMRS design </w:t>
      </w:r>
      <w:r w:rsidR="00D13A7D" w:rsidRPr="00A17A98">
        <w:t xml:space="preserve">for </w:t>
      </w:r>
      <w:r w:rsidR="00342DA1">
        <w:t xml:space="preserve">the two-port </w:t>
      </w:r>
      <w:r w:rsidR="00D13A7D" w:rsidRPr="00A17A98">
        <w:t xml:space="preserve">transmit diversity </w:t>
      </w:r>
      <w:r w:rsidR="0070331C" w:rsidRPr="00A17A98">
        <w:t>is discussed in our compan</w:t>
      </w:r>
      <w:r w:rsidR="000543DA" w:rsidRPr="00A17A98">
        <w:t>ion</w:t>
      </w:r>
      <w:r w:rsidR="0070331C" w:rsidRPr="00A17A98">
        <w:t xml:space="preserve"> contribution</w:t>
      </w:r>
      <w:r w:rsidR="00467871">
        <w:t xml:space="preserve"> </w:t>
      </w:r>
      <w:r w:rsidR="008B40AF">
        <w:fldChar w:fldCharType="begin"/>
      </w:r>
      <w:r w:rsidR="008B40AF">
        <w:instrText xml:space="preserve"> REF _Ref494462115 \n \h </w:instrText>
      </w:r>
      <w:r w:rsidR="008B40AF">
        <w:fldChar w:fldCharType="separate"/>
      </w:r>
      <w:r w:rsidR="002E3BA5">
        <w:t>[7]</w:t>
      </w:r>
      <w:r w:rsidR="008B40AF">
        <w:fldChar w:fldCharType="end"/>
      </w:r>
      <w:r w:rsidR="0070331C" w:rsidRPr="00A17A98">
        <w:t>.</w:t>
      </w:r>
      <w:r w:rsidR="007D58D3">
        <w:t xml:space="preserve"> Evaluation results are provided in </w:t>
      </w:r>
      <w:r w:rsidR="007D58D3">
        <w:fldChar w:fldCharType="begin"/>
      </w:r>
      <w:r w:rsidR="007D58D3">
        <w:instrText xml:space="preserve"> REF _Ref494461137 \r \h </w:instrText>
      </w:r>
      <w:r w:rsidR="007D58D3">
        <w:fldChar w:fldCharType="separate"/>
      </w:r>
      <w:r w:rsidR="007D58D3">
        <w:t>[8]</w:t>
      </w:r>
      <w:r w:rsidR="007D58D3">
        <w:fldChar w:fldCharType="end"/>
      </w:r>
      <w:r w:rsidR="007D58D3">
        <w:t>.</w:t>
      </w:r>
    </w:p>
    <w:p w14:paraId="0A9F175C" w14:textId="5DBA6677" w:rsidR="000714A4" w:rsidRDefault="007B6B69" w:rsidP="007B6B69">
      <w:pPr>
        <w:pStyle w:val="Heading1"/>
      </w:pPr>
      <w:r>
        <w:t>Cyclic delay value of CDD in PSCCH transmission</w:t>
      </w:r>
    </w:p>
    <w:p w14:paraId="46D830A8" w14:textId="6963E02D" w:rsidR="007B6B69" w:rsidRDefault="007B6B69" w:rsidP="00FC3F08">
      <w:pPr>
        <w:pStyle w:val="BodyText"/>
        <w:spacing w:before="240" w:after="240"/>
        <w:jc w:val="both"/>
        <w:rPr>
          <w:sz w:val="20"/>
          <w:szCs w:val="20"/>
          <w:lang w:val="en-GB"/>
        </w:rPr>
      </w:pPr>
      <w:r>
        <w:rPr>
          <w:sz w:val="20"/>
          <w:szCs w:val="20"/>
          <w:lang w:val="en-GB"/>
        </w:rPr>
        <w:t xml:space="preserve">It has been agreed in </w:t>
      </w:r>
      <w:r w:rsidRPr="007B6B69">
        <w:rPr>
          <w:sz w:val="20"/>
          <w:szCs w:val="20"/>
          <w:lang w:val="en-GB"/>
        </w:rPr>
        <w:t>RAN1#90bits</w:t>
      </w:r>
      <w:r>
        <w:rPr>
          <w:sz w:val="20"/>
          <w:szCs w:val="20"/>
          <w:lang w:val="en-GB"/>
        </w:rPr>
        <w:t xml:space="preserve"> that</w:t>
      </w:r>
      <w:r w:rsidR="00F5271D">
        <w:rPr>
          <w:sz w:val="20"/>
          <w:szCs w:val="20"/>
          <w:lang w:val="en-GB"/>
        </w:rPr>
        <w:t xml:space="preserve"> </w:t>
      </w:r>
      <w:r w:rsidR="00F5271D" w:rsidRPr="00F5271D">
        <w:rPr>
          <w:sz w:val="20"/>
          <w:szCs w:val="20"/>
          <w:lang w:val="en-GB"/>
        </w:rPr>
        <w:t>small delay CDD can be used on PSCCH</w:t>
      </w:r>
      <w:r w:rsidR="00F5271D">
        <w:rPr>
          <w:sz w:val="20"/>
          <w:szCs w:val="20"/>
          <w:lang w:val="en-GB"/>
        </w:rPr>
        <w:t xml:space="preserve">. </w:t>
      </w:r>
      <w:r w:rsidR="007548E9">
        <w:rPr>
          <w:sz w:val="20"/>
          <w:szCs w:val="20"/>
          <w:lang w:val="en-GB"/>
        </w:rPr>
        <w:t>On the other hand, w</w:t>
      </w:r>
      <w:r w:rsidR="00F5271D">
        <w:rPr>
          <w:sz w:val="20"/>
          <w:szCs w:val="20"/>
          <w:lang w:val="en-GB"/>
        </w:rPr>
        <w:t xml:space="preserve">hether or not to </w:t>
      </w:r>
      <w:r w:rsidR="009400D1">
        <w:rPr>
          <w:sz w:val="20"/>
          <w:szCs w:val="20"/>
          <w:lang w:val="en-GB"/>
        </w:rPr>
        <w:t>specify</w:t>
      </w:r>
      <w:r w:rsidR="00F5271D">
        <w:rPr>
          <w:sz w:val="20"/>
          <w:szCs w:val="20"/>
          <w:lang w:val="en-GB"/>
        </w:rPr>
        <w:t xml:space="preserve"> the cyclic delay value</w:t>
      </w:r>
      <w:r w:rsidR="007548E9">
        <w:rPr>
          <w:sz w:val="20"/>
          <w:szCs w:val="20"/>
          <w:lang w:val="en-GB"/>
        </w:rPr>
        <w:t xml:space="preserve"> is</w:t>
      </w:r>
      <w:r w:rsidR="00F5271D">
        <w:rPr>
          <w:sz w:val="20"/>
          <w:szCs w:val="20"/>
          <w:lang w:val="en-GB"/>
        </w:rPr>
        <w:t xml:space="preserve"> left for further study.</w:t>
      </w:r>
    </w:p>
    <w:p w14:paraId="7FE1D6F1" w14:textId="4650004D" w:rsidR="001E55BC" w:rsidRDefault="009400D1" w:rsidP="009C40B4">
      <w:pPr>
        <w:pStyle w:val="BodyText"/>
        <w:spacing w:before="240" w:after="240"/>
        <w:jc w:val="both"/>
        <w:rPr>
          <w:sz w:val="20"/>
          <w:szCs w:val="20"/>
          <w:lang w:val="en-GB"/>
        </w:rPr>
      </w:pPr>
      <w:r w:rsidRPr="009400D1">
        <w:rPr>
          <w:sz w:val="20"/>
          <w:szCs w:val="20"/>
          <w:lang w:val="en-GB"/>
        </w:rPr>
        <w:t>CDD</w:t>
      </w:r>
      <w:r w:rsidR="001E55BC">
        <w:rPr>
          <w:sz w:val="20"/>
          <w:szCs w:val="20"/>
          <w:lang w:val="en-GB"/>
        </w:rPr>
        <w:t xml:space="preserve"> scheme</w:t>
      </w:r>
      <w:r w:rsidRPr="009400D1">
        <w:rPr>
          <w:sz w:val="20"/>
          <w:szCs w:val="20"/>
          <w:lang w:val="en-GB"/>
        </w:rPr>
        <w:t xml:space="preserve"> transforms spatial diversity into frequency diversity by multiplying the frequency domain data symbols with a linear increasing phase factor t</w:t>
      </w:r>
      <w:r w:rsidR="001E55BC">
        <w:rPr>
          <w:sz w:val="20"/>
          <w:szCs w:val="20"/>
          <w:lang w:val="en-GB"/>
        </w:rPr>
        <w:t xml:space="preserve">hat depends on the cyclic delay, as shown </w:t>
      </w:r>
      <w:r w:rsidR="009C40B4">
        <w:rPr>
          <w:sz w:val="20"/>
          <w:szCs w:val="20"/>
          <w:lang w:val="en-GB"/>
        </w:rPr>
        <w:t xml:space="preserve">in </w:t>
      </w:r>
      <w:r w:rsidR="0069038F">
        <w:fldChar w:fldCharType="begin"/>
      </w:r>
      <w:r w:rsidR="0069038F">
        <w:rPr>
          <w:sz w:val="20"/>
          <w:szCs w:val="20"/>
          <w:lang w:val="en-GB"/>
        </w:rPr>
        <w:instrText xml:space="preserve"> REF _Ref477772686 \h  \* MERGEFORMAT </w:instrText>
      </w:r>
      <w:r w:rsidR="0069038F">
        <w:fldChar w:fldCharType="separate"/>
      </w:r>
      <w:r w:rsidR="002E3BA5" w:rsidRPr="002E3BA5">
        <w:rPr>
          <w:sz w:val="20"/>
          <w:szCs w:val="20"/>
          <w:lang w:val="en-GB"/>
        </w:rPr>
        <w:t>Figure 1</w:t>
      </w:r>
      <w:r w:rsidR="0069038F">
        <w:fldChar w:fldCharType="end"/>
      </w:r>
      <w:r w:rsidR="009C40B4">
        <w:rPr>
          <w:sz w:val="20"/>
          <w:szCs w:val="20"/>
          <w:lang w:val="en-GB"/>
        </w:rPr>
        <w:t xml:space="preserve">. </w:t>
      </w:r>
      <w:r w:rsidR="009C40B4" w:rsidRPr="007B4EE5">
        <w:rPr>
          <w:sz w:val="20"/>
          <w:szCs w:val="20"/>
          <w:lang w:val="en-GB"/>
        </w:rPr>
        <w:t xml:space="preserve">The phase-rotation precoder </w:t>
      </w:r>
      <w:r w:rsidR="009C40B4">
        <w:rPr>
          <w:sz w:val="20"/>
          <w:szCs w:val="20"/>
          <w:lang w:val="en-GB"/>
        </w:rPr>
        <w:t>consists of multiplying the frequency-domain signal by a term</w:t>
      </w:r>
      <w:r w:rsidR="009C40B4" w:rsidRPr="007B4EE5">
        <w:rPr>
          <w:sz w:val="20"/>
          <w:szCs w:val="20"/>
          <w:lang w:val="en-GB"/>
        </w:rPr>
        <w:t xml:space="preserve"> </w:t>
      </w:r>
      <m:oMath>
        <m:sSup>
          <m:sSupPr>
            <m:ctrlPr>
              <w:rPr>
                <w:rFonts w:ascii="Cambria Math" w:hAnsi="Cambria Math"/>
                <w:i/>
                <w:iCs/>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-j2πk</m:t>
            </m:r>
            <m:sSub>
              <m:sSubPr>
                <m:ctrlPr>
                  <w:rPr>
                    <w:rFonts w:ascii="Cambria Math" w:hAnsi="Cambria Math"/>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r>
              <w:rPr>
                <w:rFonts w:ascii="Cambria Math" w:hAnsi="Cambria Math"/>
                <w:sz w:val="20"/>
                <w:szCs w:val="20"/>
                <w:lang w:val="en-GB"/>
              </w:rPr>
              <m:t>/N</m:t>
            </m:r>
          </m:sup>
        </m:sSup>
      </m:oMath>
      <w:r w:rsidR="009C40B4" w:rsidRPr="007B4EE5">
        <w:rPr>
          <w:sz w:val="20"/>
          <w:szCs w:val="20"/>
          <w:lang w:val="en-GB"/>
        </w:rPr>
        <w:t xml:space="preserve">, where </w:t>
      </w:r>
      <m:oMath>
        <m:r>
          <w:rPr>
            <w:rFonts w:ascii="Cambria Math" w:hAnsi="Cambria Math"/>
            <w:sz w:val="20"/>
            <w:szCs w:val="20"/>
            <w:lang w:val="en-GB"/>
          </w:rPr>
          <m:t>k</m:t>
        </m:r>
      </m:oMath>
      <w:r w:rsidR="009C40B4" w:rsidRPr="007B4EE5">
        <w:rPr>
          <w:sz w:val="20"/>
          <w:szCs w:val="20"/>
          <w:lang w:val="en-GB"/>
        </w:rPr>
        <w:t xml:space="preserve"> is the subcarrier index, </w:t>
      </w:r>
      <m:oMath>
        <m:r>
          <w:rPr>
            <w:rFonts w:ascii="Cambria Math" w:hAnsi="Cambria Math"/>
            <w:sz w:val="20"/>
            <w:szCs w:val="20"/>
            <w:lang w:val="en-GB"/>
          </w:rPr>
          <m:t>N</m:t>
        </m:r>
      </m:oMath>
      <w:r w:rsidR="009C40B4" w:rsidRPr="007B4EE5">
        <w:rPr>
          <w:sz w:val="20"/>
          <w:szCs w:val="20"/>
          <w:lang w:val="en-GB"/>
        </w:rPr>
        <w:t xml:space="preserve"> is the FFT size, 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is the </w:t>
      </w:r>
      <w:r w:rsidR="009C40B4" w:rsidRPr="007B4EE5">
        <w:rPr>
          <w:sz w:val="20"/>
          <w:szCs w:val="20"/>
          <w:lang w:val="en-GB"/>
        </w:rPr>
        <w:t xml:space="preserve">cyclic </w:t>
      </w:r>
      <w:r w:rsidR="001E55BC">
        <w:rPr>
          <w:sz w:val="20"/>
          <w:szCs w:val="20"/>
          <w:lang w:val="en-GB"/>
        </w:rPr>
        <w:t>delay value</w:t>
      </w:r>
      <w:r w:rsidR="009C40B4" w:rsidRPr="007B4EE5">
        <w:rPr>
          <w:sz w:val="20"/>
          <w:szCs w:val="20"/>
          <w:lang w:val="en-GB"/>
        </w:rPr>
        <w:t xml:space="preserve"> in time</w:t>
      </w:r>
      <w:r w:rsidR="009C40B4">
        <w:rPr>
          <w:sz w:val="20"/>
          <w:szCs w:val="20"/>
          <w:lang w:val="en-GB"/>
        </w:rPr>
        <w:t xml:space="preserve">. </w:t>
      </w:r>
      <w:r w:rsidR="001E55BC">
        <w:rPr>
          <w:sz w:val="20"/>
          <w:szCs w:val="20"/>
          <w:lang w:val="en-GB"/>
        </w:rPr>
        <w:t xml:space="preserve">The selection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is a trade-off between the improved frequency selectivity and the performance of channel estimation. On</w:t>
      </w:r>
      <w:r w:rsidR="001E55BC" w:rsidRPr="001E55BC">
        <w:rPr>
          <w:sz w:val="20"/>
          <w:szCs w:val="20"/>
          <w:lang w:val="en-GB"/>
        </w:rPr>
        <w:t xml:space="preserve"> one hand,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should not be too large so that</w:t>
      </w:r>
      <w:r w:rsidR="001E55BC" w:rsidRPr="001E55BC">
        <w:rPr>
          <w:sz w:val="20"/>
          <w:szCs w:val="20"/>
          <w:lang w:val="en-GB"/>
        </w:rPr>
        <w:t xml:space="preserve"> </w:t>
      </w:r>
      <w:r w:rsidR="00AD2B64">
        <w:rPr>
          <w:sz w:val="20"/>
          <w:szCs w:val="20"/>
          <w:lang w:val="en-GB"/>
        </w:rPr>
        <w:t xml:space="preserve">the </w:t>
      </w:r>
      <w:r w:rsidR="001E55BC">
        <w:rPr>
          <w:sz w:val="20"/>
          <w:szCs w:val="20"/>
          <w:lang w:val="en-GB"/>
        </w:rPr>
        <w:t>one-port DMRS of PSCCH</w:t>
      </w:r>
      <w:r w:rsidR="001E55BC" w:rsidRPr="001E55BC">
        <w:rPr>
          <w:sz w:val="20"/>
          <w:szCs w:val="20"/>
          <w:lang w:val="en-GB"/>
        </w:rPr>
        <w:t xml:space="preserve"> </w:t>
      </w:r>
      <w:r w:rsidR="00AD2B64">
        <w:rPr>
          <w:sz w:val="20"/>
          <w:szCs w:val="20"/>
          <w:lang w:val="en-GB"/>
        </w:rPr>
        <w:t>is</w:t>
      </w:r>
      <w:r w:rsidR="001E55BC" w:rsidRPr="001E55BC">
        <w:rPr>
          <w:sz w:val="20"/>
          <w:szCs w:val="20"/>
          <w:lang w:val="en-GB"/>
        </w:rPr>
        <w:t xml:space="preserve"> still </w:t>
      </w:r>
      <w:r w:rsidR="00AD2B64">
        <w:rPr>
          <w:sz w:val="20"/>
          <w:szCs w:val="20"/>
          <w:lang w:val="en-GB"/>
        </w:rPr>
        <w:t>valid</w:t>
      </w:r>
      <w:r w:rsidR="001E55BC" w:rsidRPr="001E55BC">
        <w:rPr>
          <w:sz w:val="20"/>
          <w:szCs w:val="20"/>
          <w:lang w:val="en-GB"/>
        </w:rPr>
        <w:t xml:space="preserve"> and the corresponding channel estimation will not be degraded significantly; on the other hand,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not be </w:t>
      </w:r>
      <w:r w:rsidR="001E55BC" w:rsidRPr="001E55BC">
        <w:rPr>
          <w:sz w:val="20"/>
          <w:szCs w:val="20"/>
          <w:lang w:val="en-GB"/>
        </w:rPr>
        <w:t xml:space="preserve">too small </w:t>
      </w:r>
      <w:r w:rsidR="00AD2B64">
        <w:rPr>
          <w:sz w:val="20"/>
          <w:szCs w:val="20"/>
          <w:lang w:val="en-GB"/>
        </w:rPr>
        <w:t>so that</w:t>
      </w:r>
      <w:r w:rsidR="001E55BC" w:rsidRPr="001E55BC">
        <w:rPr>
          <w:sz w:val="20"/>
          <w:szCs w:val="20"/>
          <w:lang w:val="en-GB"/>
        </w:rPr>
        <w:t xml:space="preserve"> enough frequency selectivity can be added.</w:t>
      </w:r>
      <w:r w:rsidR="00AD2B64">
        <w:rPr>
          <w:sz w:val="20"/>
          <w:szCs w:val="20"/>
          <w:lang w:val="en-GB"/>
        </w:rPr>
        <w:t xml:space="preserve"> In addition, an appropriate value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also depends on the delay spread of the physical channel. Hence, we think that the exact value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left for UE implementation, which can bring flexibility according to physical channel conditions. However, an upper bound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pre-configured such that the performance of channel estimation will not be degraded significantly; and a lower bound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pre-configured such that the </w:t>
      </w:r>
      <w:r w:rsidR="00784422">
        <w:rPr>
          <w:sz w:val="20"/>
          <w:szCs w:val="20"/>
          <w:lang w:val="en-GB"/>
        </w:rPr>
        <w:t>diversity gain introduced by frequency selectivity is still at a decent level.</w:t>
      </w:r>
    </w:p>
    <w:p w14:paraId="1844C133" w14:textId="77777777" w:rsidR="0069038F" w:rsidRDefault="0069038F" w:rsidP="0069038F">
      <w:pPr>
        <w:pStyle w:val="BodyText"/>
        <w:spacing w:before="240" w:after="240"/>
        <w:jc w:val="center"/>
        <w:rPr>
          <w:sz w:val="20"/>
          <w:szCs w:val="20"/>
          <w:lang w:val="en-GB"/>
        </w:rPr>
      </w:pPr>
      <w:r>
        <w:rPr>
          <w:noProof/>
          <w:sz w:val="20"/>
          <w:szCs w:val="20"/>
        </w:rPr>
        <w:drawing>
          <wp:inline distT="0" distB="0" distL="0" distR="0" wp14:anchorId="45BFFB9F" wp14:editId="7124E1D8">
            <wp:extent cx="3124200" cy="1722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D_transparen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34338" cy="1728268"/>
                    </a:xfrm>
                    <a:prstGeom prst="rect">
                      <a:avLst/>
                    </a:prstGeom>
                  </pic:spPr>
                </pic:pic>
              </a:graphicData>
            </a:graphic>
          </wp:inline>
        </w:drawing>
      </w:r>
    </w:p>
    <w:p w14:paraId="20B47382" w14:textId="0F357C17" w:rsidR="0069038F" w:rsidRPr="00123520" w:rsidRDefault="0069038F" w:rsidP="0069038F">
      <w:pPr>
        <w:pStyle w:val="Caption"/>
        <w:jc w:val="center"/>
        <w:rPr>
          <w:b w:val="0"/>
        </w:rPr>
      </w:pPr>
      <w:bookmarkStart w:id="5" w:name="_Ref477772686"/>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7D58D3">
        <w:rPr>
          <w:b w:val="0"/>
          <w:noProof/>
        </w:rPr>
        <w:t>1</w:t>
      </w:r>
      <w:r w:rsidRPr="00123520">
        <w:rPr>
          <w:b w:val="0"/>
        </w:rPr>
        <w:fldChar w:fldCharType="end"/>
      </w:r>
      <w:bookmarkEnd w:id="5"/>
      <w:r w:rsidRPr="00123520">
        <w:rPr>
          <w:b w:val="0"/>
        </w:rPr>
        <w:t>. Frequency implementation of transparent CDD</w:t>
      </w:r>
    </w:p>
    <w:p w14:paraId="40F5B1EE" w14:textId="77777777" w:rsidR="00C46982" w:rsidRPr="00EA2981" w:rsidRDefault="00C46982" w:rsidP="00C46982">
      <w:pPr>
        <w:pStyle w:val="BodyText"/>
        <w:spacing w:after="240"/>
        <w:jc w:val="both"/>
        <w:rPr>
          <w:b/>
          <w:i/>
          <w:sz w:val="20"/>
          <w:szCs w:val="20"/>
        </w:rPr>
      </w:pPr>
      <w:r w:rsidRPr="00EA2981">
        <w:rPr>
          <w:b/>
          <w:i/>
          <w:sz w:val="20"/>
          <w:szCs w:val="20"/>
        </w:rPr>
        <w:t xml:space="preserve">Proposal 1: </w:t>
      </w:r>
    </w:p>
    <w:p w14:paraId="3E949AD4" w14:textId="0DCD2C3A" w:rsidR="005D0287" w:rsidRPr="00EA2981" w:rsidRDefault="00B369A1" w:rsidP="00CC2D84">
      <w:pPr>
        <w:numPr>
          <w:ilvl w:val="0"/>
          <w:numId w:val="13"/>
        </w:numPr>
        <w:spacing w:after="0"/>
        <w:rPr>
          <w:b/>
          <w:i/>
          <w:lang w:val="en-US"/>
        </w:rPr>
      </w:pPr>
      <w:r w:rsidRPr="00EA2981">
        <w:rPr>
          <w:b/>
          <w:i/>
          <w:lang w:val="en-US"/>
        </w:rPr>
        <w:t>For PSCCH, the cyclic delay value applied to s</w:t>
      </w:r>
      <w:r w:rsidR="000378EE" w:rsidRPr="00EA2981">
        <w:rPr>
          <w:b/>
          <w:i/>
          <w:lang w:val="en-US"/>
        </w:rPr>
        <w:t>mall delay</w:t>
      </w:r>
      <w:r w:rsidRPr="00EA2981">
        <w:rPr>
          <w:b/>
          <w:i/>
          <w:lang w:val="en-US"/>
        </w:rPr>
        <w:t xml:space="preserve"> CDD</w:t>
      </w:r>
      <w:r w:rsidR="000378EE" w:rsidRPr="00EA2981">
        <w:rPr>
          <w:b/>
          <w:i/>
          <w:lang w:val="en-US"/>
        </w:rPr>
        <w:t xml:space="preserve"> </w:t>
      </w:r>
      <w:r w:rsidRPr="00EA2981">
        <w:rPr>
          <w:b/>
          <w:i/>
          <w:lang w:val="en-US"/>
        </w:rPr>
        <w:t>is left for UE implementation</w:t>
      </w:r>
      <w:r w:rsidR="005D0287" w:rsidRPr="00EA2981">
        <w:rPr>
          <w:b/>
          <w:i/>
          <w:lang w:val="en-US"/>
        </w:rPr>
        <w:t>.</w:t>
      </w:r>
      <w:r w:rsidRPr="00EA2981">
        <w:rPr>
          <w:b/>
          <w:i/>
          <w:lang w:val="en-US"/>
        </w:rPr>
        <w:t xml:space="preserve"> However, an upper bound and a lower bound of the used cyclic delay value are </w:t>
      </w:r>
      <w:r w:rsidR="009256D3" w:rsidRPr="00EA2981">
        <w:rPr>
          <w:b/>
          <w:i/>
          <w:lang w:val="en-US"/>
        </w:rPr>
        <w:t>(</w:t>
      </w:r>
      <w:r w:rsidRPr="00EA2981">
        <w:rPr>
          <w:b/>
          <w:i/>
          <w:lang w:val="en-US"/>
        </w:rPr>
        <w:t>pre-</w:t>
      </w:r>
      <w:r w:rsidR="009256D3" w:rsidRPr="00EA2981">
        <w:rPr>
          <w:b/>
          <w:i/>
          <w:lang w:val="en-US"/>
        </w:rPr>
        <w:t>)</w:t>
      </w:r>
      <w:r w:rsidRPr="00EA2981">
        <w:rPr>
          <w:b/>
          <w:i/>
          <w:lang w:val="en-US"/>
        </w:rPr>
        <w:t>configured.</w:t>
      </w:r>
    </w:p>
    <w:p w14:paraId="6A5BAB09" w14:textId="0C27DE0B" w:rsidR="00426899" w:rsidRPr="00EA2981" w:rsidRDefault="002501D9" w:rsidP="007B6B69">
      <w:pPr>
        <w:pStyle w:val="Heading1"/>
      </w:pPr>
      <w:r w:rsidRPr="00EA2981">
        <w:t>Transmit diversity for PSSCH transmission</w:t>
      </w:r>
    </w:p>
    <w:p w14:paraId="132F0268" w14:textId="37D2A157" w:rsidR="00A32907" w:rsidRDefault="00A22CCE" w:rsidP="00DC50D0">
      <w:pPr>
        <w:pStyle w:val="BodyText"/>
        <w:spacing w:before="240" w:after="240"/>
        <w:jc w:val="both"/>
        <w:rPr>
          <w:sz w:val="20"/>
          <w:szCs w:val="20"/>
        </w:rPr>
      </w:pPr>
      <w:r>
        <w:rPr>
          <w:sz w:val="20"/>
          <w:szCs w:val="20"/>
        </w:rPr>
        <w:t xml:space="preserve">Existing prototypes of DSRC use CDD </w:t>
      </w:r>
      <w:r w:rsidR="000425BC">
        <w:rPr>
          <w:sz w:val="20"/>
          <w:szCs w:val="20"/>
        </w:rPr>
        <w:t xml:space="preserve">to improve reliability </w:t>
      </w:r>
      <w:r w:rsidR="00765B77">
        <w:rPr>
          <w:sz w:val="20"/>
          <w:szCs w:val="20"/>
        </w:rPr>
        <w:fldChar w:fldCharType="begin"/>
      </w:r>
      <w:r w:rsidR="00765B77">
        <w:rPr>
          <w:sz w:val="20"/>
          <w:szCs w:val="20"/>
        </w:rPr>
        <w:instrText xml:space="preserve"> REF _Ref494114460 \r \h </w:instrText>
      </w:r>
      <w:r w:rsidR="00765B77">
        <w:rPr>
          <w:sz w:val="20"/>
          <w:szCs w:val="20"/>
        </w:rPr>
      </w:r>
      <w:r w:rsidR="00765B77">
        <w:rPr>
          <w:sz w:val="20"/>
          <w:szCs w:val="20"/>
        </w:rPr>
        <w:fldChar w:fldCharType="separate"/>
      </w:r>
      <w:r w:rsidR="002E3BA5">
        <w:rPr>
          <w:sz w:val="20"/>
          <w:szCs w:val="20"/>
        </w:rPr>
        <w:t>[9]</w:t>
      </w:r>
      <w:r w:rsidR="00765B77">
        <w:rPr>
          <w:sz w:val="20"/>
          <w:szCs w:val="20"/>
        </w:rPr>
        <w:fldChar w:fldCharType="end"/>
      </w:r>
      <w:r w:rsidR="000425BC" w:rsidRPr="00937C1B">
        <w:rPr>
          <w:sz w:val="20"/>
          <w:szCs w:val="20"/>
        </w:rPr>
        <w:t>.</w:t>
      </w:r>
      <w:r w:rsidR="000425BC">
        <w:rPr>
          <w:sz w:val="20"/>
          <w:szCs w:val="20"/>
        </w:rPr>
        <w:t xml:space="preserve"> </w:t>
      </w:r>
      <w:r w:rsidR="00D1045E">
        <w:rPr>
          <w:sz w:val="20"/>
          <w:szCs w:val="20"/>
        </w:rPr>
        <w:t>We think that LTE-V2X Release 15 should go one step beyond and extract all the available diversity in the channel, improving upon CDD.</w:t>
      </w:r>
      <w:r w:rsidR="000425BC">
        <w:rPr>
          <w:sz w:val="20"/>
          <w:szCs w:val="20"/>
        </w:rPr>
        <w:t xml:space="preserve"> </w:t>
      </w:r>
    </w:p>
    <w:p w14:paraId="638F55B9" w14:textId="628C2BBD" w:rsidR="00272E9A" w:rsidRDefault="005B5BB9" w:rsidP="00985C55">
      <w:pPr>
        <w:pStyle w:val="BodyText"/>
        <w:spacing w:before="240" w:after="240"/>
        <w:jc w:val="both"/>
        <w:rPr>
          <w:sz w:val="20"/>
          <w:szCs w:val="20"/>
          <w:lang w:val="en-GB"/>
        </w:rPr>
      </w:pPr>
      <w:r>
        <w:rPr>
          <w:sz w:val="20"/>
          <w:szCs w:val="20"/>
          <w:lang w:val="en-GB"/>
        </w:rPr>
        <w:t>A</w:t>
      </w:r>
      <w:r w:rsidR="00985C55">
        <w:rPr>
          <w:sz w:val="20"/>
          <w:szCs w:val="20"/>
          <w:lang w:val="en-GB"/>
        </w:rPr>
        <w:t xml:space="preserve">s agreed in </w:t>
      </w:r>
      <w:r w:rsidR="00985C55" w:rsidRPr="00985C55">
        <w:rPr>
          <w:sz w:val="20"/>
          <w:szCs w:val="20"/>
          <w:lang w:val="en-GB"/>
        </w:rPr>
        <w:t>RAN1#91</w:t>
      </w:r>
      <w:r w:rsidR="00985C55">
        <w:rPr>
          <w:sz w:val="20"/>
          <w:szCs w:val="20"/>
          <w:lang w:val="en-GB"/>
        </w:rPr>
        <w:t xml:space="preserve">, </w:t>
      </w:r>
      <w:r>
        <w:rPr>
          <w:sz w:val="20"/>
          <w:szCs w:val="20"/>
          <w:lang w:val="en-GB"/>
        </w:rPr>
        <w:t xml:space="preserve">Alamouti </w:t>
      </w:r>
      <w:r w:rsidR="00985C55">
        <w:rPr>
          <w:sz w:val="20"/>
          <w:szCs w:val="20"/>
          <w:lang w:val="en-GB"/>
        </w:rPr>
        <w:t>SFBC-based scheme is the current working</w:t>
      </w:r>
      <w:r w:rsidR="00552295">
        <w:rPr>
          <w:sz w:val="20"/>
          <w:szCs w:val="20"/>
          <w:lang w:val="en-GB"/>
        </w:rPr>
        <w:t xml:space="preserve"> assumption</w:t>
      </w:r>
      <w:r w:rsidR="00985C55">
        <w:rPr>
          <w:sz w:val="20"/>
          <w:szCs w:val="20"/>
          <w:lang w:val="en-GB"/>
        </w:rPr>
        <w:t xml:space="preserve">. As illustrated </w:t>
      </w:r>
      <w:r w:rsidR="00C818AB">
        <w:rPr>
          <w:sz w:val="20"/>
          <w:szCs w:val="20"/>
          <w:lang w:val="en-GB"/>
        </w:rPr>
        <w:t>in</w:t>
      </w:r>
      <w:r w:rsidR="00C6213C">
        <w:rPr>
          <w:sz w:val="20"/>
          <w:szCs w:val="20"/>
          <w:lang w:val="en-GB"/>
        </w:rPr>
        <w:t xml:space="preserve"> </w:t>
      </w:r>
      <w:r w:rsidR="00C6213C" w:rsidRPr="009273AF">
        <w:rPr>
          <w:sz w:val="20"/>
          <w:szCs w:val="20"/>
          <w:lang w:val="en-GB"/>
        </w:rPr>
        <w:fldChar w:fldCharType="begin"/>
      </w:r>
      <w:r w:rsidR="00C6213C" w:rsidRPr="009273AF">
        <w:rPr>
          <w:sz w:val="20"/>
          <w:szCs w:val="20"/>
          <w:lang w:val="en-GB"/>
        </w:rPr>
        <w:instrText xml:space="preserve"> REF _Ref489963658 \h  \* MERGEFORMAT </w:instrText>
      </w:r>
      <w:r w:rsidR="00C6213C" w:rsidRPr="009273AF">
        <w:rPr>
          <w:sz w:val="20"/>
          <w:szCs w:val="20"/>
          <w:lang w:val="en-GB"/>
        </w:rPr>
      </w:r>
      <w:r w:rsidR="00C6213C" w:rsidRPr="009273AF">
        <w:rPr>
          <w:sz w:val="20"/>
          <w:szCs w:val="20"/>
          <w:lang w:val="en-GB"/>
        </w:rPr>
        <w:fldChar w:fldCharType="separate"/>
      </w:r>
      <w:r w:rsidR="002E3BA5" w:rsidRPr="002E3BA5">
        <w:rPr>
          <w:sz w:val="20"/>
          <w:szCs w:val="20"/>
          <w:lang w:val="en-GB"/>
        </w:rPr>
        <w:t>Figure 2</w:t>
      </w:r>
      <w:r w:rsidR="00C6213C" w:rsidRPr="009273AF">
        <w:rPr>
          <w:sz w:val="20"/>
          <w:szCs w:val="20"/>
          <w:lang w:val="en-GB"/>
        </w:rPr>
        <w:fldChar w:fldCharType="end"/>
      </w:r>
      <w:r w:rsidR="00985C55" w:rsidRPr="009273AF">
        <w:rPr>
          <w:sz w:val="20"/>
          <w:szCs w:val="20"/>
          <w:lang w:val="en-GB"/>
        </w:rPr>
        <w:t>, i</w:t>
      </w:r>
      <w:r w:rsidR="004C7766">
        <w:rPr>
          <w:sz w:val="20"/>
          <w:szCs w:val="20"/>
          <w:lang w:val="en-GB"/>
        </w:rPr>
        <w:t>n conventional Alamouti SFBC, two adjacent subcarrier</w:t>
      </w:r>
      <w:r w:rsidR="009C011C">
        <w:rPr>
          <w:sz w:val="20"/>
          <w:szCs w:val="20"/>
          <w:lang w:val="en-GB"/>
        </w:rPr>
        <w:t>s</w:t>
      </w:r>
      <w:r w:rsidR="004C7766">
        <w:rPr>
          <w:sz w:val="20"/>
          <w:szCs w:val="20"/>
          <w:lang w:val="en-GB"/>
        </w:rPr>
        <w:t xml:space="preserve"> are used as the paired SFBC subcarriers, which may lead to slightly increased CM/PAPR characteristics</w:t>
      </w:r>
      <w:r w:rsidR="00272E9A">
        <w:rPr>
          <w:sz w:val="20"/>
          <w:szCs w:val="20"/>
          <w:lang w:val="en-GB"/>
        </w:rPr>
        <w:t xml:space="preserve">. Nevertheless, according to RAN4’s response </w:t>
      </w:r>
      <w:r w:rsidR="009273AF">
        <w:rPr>
          <w:sz w:val="20"/>
          <w:szCs w:val="20"/>
          <w:lang w:val="en-GB"/>
        </w:rPr>
        <w:fldChar w:fldCharType="begin"/>
      </w:r>
      <w:r w:rsidR="009273AF">
        <w:rPr>
          <w:sz w:val="20"/>
          <w:szCs w:val="20"/>
          <w:lang w:val="en-GB"/>
        </w:rPr>
        <w:instrText xml:space="preserve"> REF _Ref506292678 \n \h </w:instrText>
      </w:r>
      <w:r w:rsidR="009273AF">
        <w:rPr>
          <w:sz w:val="20"/>
          <w:szCs w:val="20"/>
          <w:lang w:val="en-GB"/>
        </w:rPr>
      </w:r>
      <w:r w:rsidR="009273AF">
        <w:rPr>
          <w:sz w:val="20"/>
          <w:szCs w:val="20"/>
          <w:lang w:val="en-GB"/>
        </w:rPr>
        <w:fldChar w:fldCharType="separate"/>
      </w:r>
      <w:r w:rsidR="002E3BA5">
        <w:rPr>
          <w:sz w:val="20"/>
          <w:szCs w:val="20"/>
          <w:lang w:val="en-GB"/>
        </w:rPr>
        <w:t>[6]</w:t>
      </w:r>
      <w:r w:rsidR="009273AF">
        <w:rPr>
          <w:sz w:val="20"/>
          <w:szCs w:val="20"/>
          <w:lang w:val="en-GB"/>
        </w:rPr>
        <w:fldChar w:fldCharType="end"/>
      </w:r>
      <w:r w:rsidR="00272E9A">
        <w:rPr>
          <w:sz w:val="20"/>
          <w:szCs w:val="20"/>
          <w:lang w:val="en-GB"/>
        </w:rPr>
        <w:t>, up to 0.5dB MPR increase is expected if SFBC is implemented. Hence, the CM increase of SFBC is not significant and will not be a problem.</w:t>
      </w:r>
    </w:p>
    <w:p w14:paraId="7009C33C" w14:textId="5CF71300" w:rsidR="00C818AB" w:rsidRDefault="00C818AB" w:rsidP="00C818AB">
      <w:pPr>
        <w:pStyle w:val="BodyText"/>
        <w:spacing w:before="240" w:after="240"/>
        <w:jc w:val="center"/>
        <w:rPr>
          <w:sz w:val="20"/>
          <w:szCs w:val="20"/>
          <w:lang w:val="en-GB"/>
        </w:rPr>
      </w:pPr>
      <w:r>
        <w:rPr>
          <w:noProof/>
          <w:sz w:val="20"/>
          <w:szCs w:val="20"/>
        </w:rPr>
        <w:lastRenderedPageBreak/>
        <w:drawing>
          <wp:inline distT="0" distB="0" distL="0" distR="0" wp14:anchorId="6DEE7993" wp14:editId="7C0C9C9D">
            <wp:extent cx="4055424" cy="13194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FB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72542" cy="1324974"/>
                    </a:xfrm>
                    <a:prstGeom prst="rect">
                      <a:avLst/>
                    </a:prstGeom>
                  </pic:spPr>
                </pic:pic>
              </a:graphicData>
            </a:graphic>
          </wp:inline>
        </w:drawing>
      </w:r>
    </w:p>
    <w:p w14:paraId="0DA0CD95" w14:textId="5123CD69" w:rsidR="00DF313A" w:rsidRPr="00DF313A" w:rsidRDefault="00C6213C" w:rsidP="00C6213C">
      <w:pPr>
        <w:pStyle w:val="Caption"/>
        <w:jc w:val="center"/>
        <w:rPr>
          <w:b w:val="0"/>
        </w:rPr>
      </w:pPr>
      <w:bookmarkStart w:id="6" w:name="_Ref489963658"/>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7D58D3">
        <w:rPr>
          <w:b w:val="0"/>
          <w:noProof/>
        </w:rPr>
        <w:t>2</w:t>
      </w:r>
      <w:r w:rsidRPr="00C6213C">
        <w:rPr>
          <w:b w:val="0"/>
        </w:rPr>
        <w:fldChar w:fldCharType="end"/>
      </w:r>
      <w:bookmarkEnd w:id="6"/>
      <w:r>
        <w:rPr>
          <w:b w:val="0"/>
        </w:rPr>
        <w:t xml:space="preserve">. </w:t>
      </w:r>
      <w:r w:rsidR="00DF313A">
        <w:rPr>
          <w:b w:val="0"/>
        </w:rPr>
        <w:t>Alamouti SFBC</w:t>
      </w:r>
    </w:p>
    <w:p w14:paraId="6F591893" w14:textId="7EE7491F" w:rsidR="00EA4A59" w:rsidRDefault="005A6BB3" w:rsidP="00765B77">
      <w:pPr>
        <w:tabs>
          <w:tab w:val="left" w:pos="1440"/>
        </w:tabs>
        <w:spacing w:before="240" w:after="0"/>
        <w:jc w:val="both"/>
      </w:pPr>
      <w:r>
        <w:t>S</w:t>
      </w:r>
      <w:r w:rsidR="00EA4A59">
        <w:t xml:space="preserve">ome companies have </w:t>
      </w:r>
      <w:r w:rsidR="00ED1470">
        <w:t xml:space="preserve">shown </w:t>
      </w:r>
      <w:r w:rsidR="00EA4A59">
        <w:t>concerns</w:t>
      </w:r>
      <w:r w:rsidR="00D33BF0">
        <w:t xml:space="preserve"> about the impacts of non-transparent diversity scheme on</w:t>
      </w:r>
      <w:r w:rsidR="003C3F00">
        <w:t xml:space="preserve"> the demodula</w:t>
      </w:r>
      <w:r w:rsidR="00302919">
        <w:t xml:space="preserve">tion performance of </w:t>
      </w:r>
      <w:r w:rsidR="00B35F64">
        <w:t>Rel-14 UE</w:t>
      </w:r>
      <w:r w:rsidR="00302919">
        <w:t>s</w:t>
      </w:r>
      <w:r w:rsidR="00B35F64">
        <w:t>, i.e., the receiver performance may be different in the a) presence of single-port interfere(s) and b) presence of two-port interfere</w:t>
      </w:r>
      <w:r w:rsidR="005D0BE6">
        <w:t>r</w:t>
      </w:r>
      <w:r w:rsidR="00B35F64">
        <w:t>(s) with diversity scheme</w:t>
      </w:r>
      <w:r w:rsidR="00302919">
        <w:t xml:space="preserve">. According to RAN4’s responses in </w:t>
      </w:r>
      <w:r w:rsidR="009273AF">
        <w:fldChar w:fldCharType="begin"/>
      </w:r>
      <w:r w:rsidR="009273AF">
        <w:instrText xml:space="preserve"> REF _Ref506292678 \n \h </w:instrText>
      </w:r>
      <w:r w:rsidR="009273AF">
        <w:fldChar w:fldCharType="separate"/>
      </w:r>
      <w:r w:rsidR="002E3BA5">
        <w:t>[6]</w:t>
      </w:r>
      <w:r w:rsidR="009273AF">
        <w:fldChar w:fldCharType="end"/>
      </w:r>
      <w:r w:rsidR="00302919">
        <w:t>, f</w:t>
      </w:r>
      <w:r w:rsidR="00302919" w:rsidRPr="00302919">
        <w:t>or LMMSE-MRC receiver, the two-port non-transparent transmit diversity interfering transmissions have almost same impact as Rel-14 single-port interfering transmissions on receiving performance of Rel-14 UEs</w:t>
      </w:r>
      <w:r w:rsidR="000003DD">
        <w:t xml:space="preserve">. On the other hand, for LMMSE-IRC receiver, </w:t>
      </w:r>
      <w:r w:rsidR="000003DD" w:rsidRPr="000003DD">
        <w:t xml:space="preserve">the performance </w:t>
      </w:r>
      <w:r w:rsidR="000003DD">
        <w:t>difference between single-port and two-port interfere</w:t>
      </w:r>
      <w:r w:rsidR="005D0BE6">
        <w:t>r</w:t>
      </w:r>
      <w:r w:rsidR="000003DD">
        <w:t xml:space="preserve">s </w:t>
      </w:r>
      <w:r w:rsidR="000003DD" w:rsidRPr="000003DD">
        <w:t>depends on the propagation conditions and the following results were observed</w:t>
      </w:r>
      <w:r w:rsidR="000003DD">
        <w:t>.</w:t>
      </w:r>
    </w:p>
    <w:p w14:paraId="181194F5" w14:textId="77777777" w:rsidR="000003DD" w:rsidRPr="000003DD" w:rsidRDefault="000003DD" w:rsidP="000003DD">
      <w:pPr>
        <w:numPr>
          <w:ilvl w:val="0"/>
          <w:numId w:val="22"/>
        </w:numPr>
        <w:spacing w:after="120"/>
        <w:jc w:val="both"/>
      </w:pPr>
      <w:r w:rsidRPr="000003DD">
        <w:t>For low relative UE speed scenarios (~30km/h), the performance impact is as follows:</w:t>
      </w:r>
    </w:p>
    <w:p w14:paraId="758C3153" w14:textId="77777777" w:rsidR="000003DD" w:rsidRPr="000003DD" w:rsidRDefault="000003DD" w:rsidP="000003DD">
      <w:pPr>
        <w:numPr>
          <w:ilvl w:val="1"/>
          <w:numId w:val="22"/>
        </w:numPr>
        <w:spacing w:after="120"/>
        <w:jc w:val="both"/>
      </w:pPr>
      <w:r w:rsidRPr="000003DD">
        <w:t>For the case of single dominant interferer signal the performance loss is from 0.1 dB for low INR = 0 dB and is in the range from 3.2 to 4.5 dB for high INR up to 15 dB.</w:t>
      </w:r>
    </w:p>
    <w:p w14:paraId="1E4D3172" w14:textId="77777777" w:rsidR="000003DD" w:rsidRPr="000003DD" w:rsidRDefault="000003DD" w:rsidP="000003DD">
      <w:pPr>
        <w:numPr>
          <w:ilvl w:val="1"/>
          <w:numId w:val="22"/>
        </w:numPr>
        <w:spacing w:after="120"/>
        <w:jc w:val="both"/>
      </w:pPr>
      <w:r w:rsidRPr="000003DD">
        <w:t>For the case of two dominant interferer signals the performance loss is from 0 dB for low INR = 0 dB and is in the range from 1.0dB to 1.9 dB for high INR up to 15 dB.</w:t>
      </w:r>
    </w:p>
    <w:p w14:paraId="126E924C" w14:textId="0C4DC13E" w:rsidR="000003DD" w:rsidRDefault="000003DD" w:rsidP="000003DD">
      <w:pPr>
        <w:numPr>
          <w:ilvl w:val="0"/>
          <w:numId w:val="22"/>
        </w:numPr>
        <w:spacing w:after="120"/>
        <w:jc w:val="both"/>
      </w:pPr>
      <w:r w:rsidRPr="000003DD">
        <w:t xml:space="preserve">For high relative UE speed scenarios (~280km/h), the performance impact is generally less than 0.5 dB for all scenarios. </w:t>
      </w:r>
    </w:p>
    <w:p w14:paraId="38AB00D3" w14:textId="463EE94C" w:rsidR="00C636DC" w:rsidRDefault="00EA12B5" w:rsidP="00EA12B5">
      <w:pPr>
        <w:spacing w:after="120"/>
        <w:jc w:val="both"/>
      </w:pPr>
      <w:r>
        <w:t>From the RAN4 response, we can conclude that the minimum performance requirements which are met by MRC receivers are not affected. To mitigate the loss for advanced receivers, we discuss the use o</w:t>
      </w:r>
      <w:r w:rsidR="00C636DC">
        <w:t xml:space="preserve">f restrictions </w:t>
      </w:r>
      <w:r>
        <w:t>in the next section.</w:t>
      </w:r>
    </w:p>
    <w:p w14:paraId="1DFB0CC4" w14:textId="66CD8653" w:rsidR="000003DD" w:rsidRDefault="00EA12B5" w:rsidP="000003DD">
      <w:pPr>
        <w:spacing w:after="120"/>
        <w:jc w:val="both"/>
      </w:pPr>
      <w:r>
        <w:t xml:space="preserve">In </w:t>
      </w:r>
      <w:r w:rsidRPr="009273AF">
        <w:fldChar w:fldCharType="begin"/>
      </w:r>
      <w:r w:rsidRPr="009273AF">
        <w:instrText xml:space="preserve"> REF _Ref494462115 \r \h  \* MERGEFORMAT </w:instrText>
      </w:r>
      <w:r w:rsidRPr="009273AF">
        <w:fldChar w:fldCharType="separate"/>
      </w:r>
      <w:r>
        <w:t>[7]</w:t>
      </w:r>
      <w:r w:rsidRPr="009273AF">
        <w:fldChar w:fldCharType="end"/>
      </w:r>
      <w:r>
        <w:t xml:space="preserve"> we present a DMRS structure that allows for a simpl</w:t>
      </w:r>
      <w:r w:rsidR="00417212">
        <w:t>y modified</w:t>
      </w:r>
      <w:r>
        <w:t xml:space="preserve"> LMMSE-IRC receiver implementation for Release 15 UEs based on:</w:t>
      </w:r>
      <w:r w:rsidDel="00EA12B5">
        <w:t xml:space="preserve"> </w:t>
      </w:r>
    </w:p>
    <w:p w14:paraId="5E87B02F" w14:textId="77777777" w:rsidR="00922C86" w:rsidRDefault="00922C86" w:rsidP="00922C86">
      <w:pPr>
        <w:pStyle w:val="ListParagraph"/>
        <w:numPr>
          <w:ilvl w:val="0"/>
          <w:numId w:val="8"/>
        </w:numPr>
        <w:tabs>
          <w:tab w:val="left" w:pos="1440"/>
        </w:tabs>
        <w:jc w:val="both"/>
      </w:pPr>
      <w:r w:rsidRPr="00765B77">
        <w:rPr>
          <w:rFonts w:ascii="Times New Roman" w:hAnsi="Times New Roman" w:cs="Times New Roman"/>
          <w:sz w:val="20"/>
          <w:szCs w:val="20"/>
        </w:rPr>
        <w:t>Joint decoding of two RX antennas and two subcarriers (i.e., the pair of subcarriers used in SFBC).</w:t>
      </w:r>
    </w:p>
    <w:p w14:paraId="167EF2AA" w14:textId="77777777" w:rsidR="00922C86" w:rsidRPr="006333FF" w:rsidRDefault="00922C86" w:rsidP="00922C86">
      <w:pPr>
        <w:pStyle w:val="ListParagraph"/>
        <w:numPr>
          <w:ilvl w:val="0"/>
          <w:numId w:val="8"/>
        </w:numPr>
        <w:tabs>
          <w:tab w:val="left" w:pos="1440"/>
        </w:tabs>
        <w:jc w:val="both"/>
      </w:pPr>
      <w:r>
        <w:rPr>
          <w:rFonts w:ascii="Times New Roman" w:hAnsi="Times New Roman" w:cs="Times New Roman"/>
          <w:sz w:val="20"/>
          <w:szCs w:val="20"/>
        </w:rPr>
        <w:t>Covariance matrix estimation (interference plus noise) using DMRS symbols.</w:t>
      </w:r>
    </w:p>
    <w:p w14:paraId="1F59BBFA" w14:textId="031CDFC2" w:rsidR="00795574" w:rsidRPr="006E39CD" w:rsidRDefault="00795574" w:rsidP="00C3081F">
      <w:pPr>
        <w:spacing w:before="240" w:after="120"/>
        <w:jc w:val="both"/>
        <w:rPr>
          <w:b/>
          <w:i/>
        </w:rPr>
      </w:pPr>
      <w:r w:rsidRPr="006E39CD">
        <w:rPr>
          <w:b/>
          <w:i/>
        </w:rPr>
        <w:t>Proposal</w:t>
      </w:r>
      <w:r w:rsidR="004352CB" w:rsidRPr="006E39CD">
        <w:rPr>
          <w:b/>
          <w:i/>
        </w:rPr>
        <w:t xml:space="preserve"> </w:t>
      </w:r>
      <w:r w:rsidR="005B2244" w:rsidRPr="006E39CD">
        <w:rPr>
          <w:b/>
          <w:i/>
        </w:rPr>
        <w:t>2</w:t>
      </w:r>
      <w:r w:rsidRPr="006E39CD">
        <w:rPr>
          <w:b/>
          <w:i/>
        </w:rPr>
        <w:t xml:space="preserve">: </w:t>
      </w:r>
    </w:p>
    <w:p w14:paraId="6022D72A" w14:textId="4C5DE29B" w:rsidR="004D4D0A" w:rsidRPr="006E39CD" w:rsidRDefault="00582B0D" w:rsidP="006E39CD">
      <w:pPr>
        <w:pStyle w:val="ListParagraph"/>
        <w:numPr>
          <w:ilvl w:val="0"/>
          <w:numId w:val="19"/>
        </w:numPr>
        <w:rPr>
          <w:rFonts w:ascii="Times New Roman" w:hAnsi="Times New Roman" w:cs="Times New Roman"/>
          <w:b/>
          <w:i/>
          <w:sz w:val="20"/>
        </w:rPr>
      </w:pPr>
      <w:r>
        <w:rPr>
          <w:rFonts w:ascii="Times New Roman" w:hAnsi="Times New Roman" w:cs="Times New Roman"/>
          <w:b/>
          <w:i/>
          <w:sz w:val="20"/>
        </w:rPr>
        <w:t xml:space="preserve">Confirm the </w:t>
      </w:r>
      <w:r w:rsidR="005F48F0">
        <w:rPr>
          <w:rFonts w:ascii="Times New Roman" w:hAnsi="Times New Roman" w:cs="Times New Roman"/>
          <w:b/>
          <w:i/>
          <w:sz w:val="20"/>
        </w:rPr>
        <w:t>working assumption</w:t>
      </w:r>
      <w:r w:rsidR="00EF41D6">
        <w:rPr>
          <w:rFonts w:ascii="Times New Roman" w:hAnsi="Times New Roman" w:cs="Times New Roman"/>
          <w:b/>
          <w:i/>
          <w:sz w:val="20"/>
        </w:rPr>
        <w:t xml:space="preserve">: SFBC is used </w:t>
      </w:r>
      <w:r w:rsidR="005F48F0">
        <w:rPr>
          <w:rFonts w:ascii="Times New Roman" w:hAnsi="Times New Roman" w:cs="Times New Roman"/>
          <w:b/>
          <w:i/>
          <w:sz w:val="20"/>
        </w:rPr>
        <w:t>for</w:t>
      </w:r>
      <w:r w:rsidR="00EF41D6">
        <w:rPr>
          <w:rFonts w:ascii="Times New Roman" w:hAnsi="Times New Roman" w:cs="Times New Roman"/>
          <w:b/>
          <w:i/>
          <w:sz w:val="20"/>
        </w:rPr>
        <w:t xml:space="preserve"> </w:t>
      </w:r>
      <w:r w:rsidRPr="006E39CD">
        <w:rPr>
          <w:rFonts w:ascii="Times New Roman" w:hAnsi="Times New Roman" w:cs="Times New Roman"/>
          <w:b/>
          <w:i/>
          <w:sz w:val="20"/>
        </w:rPr>
        <w:t>two-port non-transparent transmit diversity</w:t>
      </w:r>
      <w:r w:rsidR="00D1045E" w:rsidRPr="006E39CD">
        <w:rPr>
          <w:rFonts w:ascii="Times New Roman" w:hAnsi="Times New Roman" w:cs="Times New Roman"/>
          <w:b/>
          <w:i/>
          <w:sz w:val="20"/>
        </w:rPr>
        <w:t>.</w:t>
      </w:r>
    </w:p>
    <w:p w14:paraId="73A6274D" w14:textId="6573068F" w:rsidR="001E15BC" w:rsidRDefault="007F7D93" w:rsidP="009C011C">
      <w:pPr>
        <w:pStyle w:val="Heading1"/>
      </w:pPr>
      <w:bookmarkStart w:id="7" w:name="_Ref506293411"/>
      <w:r>
        <w:t>Restrictions on the use of transmit diversity</w:t>
      </w:r>
      <w:bookmarkEnd w:id="7"/>
    </w:p>
    <w:p w14:paraId="096CC7BD" w14:textId="6C6F62FF" w:rsidR="00333556" w:rsidRPr="00A07604" w:rsidRDefault="007F7D93" w:rsidP="006E39CD">
      <w:pPr>
        <w:spacing w:after="0"/>
      </w:pPr>
      <w:r w:rsidRPr="00842C9C">
        <w:t>As captured above, RAN1 has agreed on restricting the utilization of</w:t>
      </w:r>
      <w:r w:rsidR="009C011C">
        <w:t xml:space="preserve"> non-transparent</w:t>
      </w:r>
      <w:r w:rsidRPr="00842C9C">
        <w:t xml:space="preserve"> transmit diversity in two cases</w:t>
      </w:r>
      <w:r w:rsidR="00333556" w:rsidRPr="00A07604">
        <w:t>:</w:t>
      </w:r>
    </w:p>
    <w:p w14:paraId="0F691AF1" w14:textId="370B96B0" w:rsidR="00333556" w:rsidRPr="00842C9C" w:rsidRDefault="00333556" w:rsidP="006E39CD">
      <w:pPr>
        <w:pStyle w:val="ListParagraph"/>
        <w:numPr>
          <w:ilvl w:val="0"/>
          <w:numId w:val="8"/>
        </w:numPr>
        <w:spacing w:before="240"/>
      </w:pPr>
      <w:r w:rsidRPr="006E39CD">
        <w:rPr>
          <w:rFonts w:ascii="Times New Roman" w:hAnsi="Times New Roman" w:cs="Times New Roman"/>
          <w:sz w:val="20"/>
          <w:szCs w:val="20"/>
        </w:rPr>
        <w:t>When communicating with Rel-14 UEs</w:t>
      </w:r>
      <w:r w:rsidR="005D6DDB">
        <w:rPr>
          <w:rFonts w:ascii="Times New Roman" w:hAnsi="Times New Roman" w:cs="Times New Roman"/>
          <w:sz w:val="20"/>
          <w:szCs w:val="20"/>
        </w:rPr>
        <w:t>.</w:t>
      </w:r>
    </w:p>
    <w:p w14:paraId="08CF9017" w14:textId="52A0BA2C" w:rsidR="007F7D93" w:rsidRPr="006E39CD" w:rsidRDefault="00333556" w:rsidP="006E39CD">
      <w:pPr>
        <w:pStyle w:val="ListParagraph"/>
        <w:numPr>
          <w:ilvl w:val="0"/>
          <w:numId w:val="8"/>
        </w:numPr>
        <w:rPr>
          <w:sz w:val="20"/>
          <w:szCs w:val="20"/>
        </w:rPr>
      </w:pPr>
      <w:r w:rsidRPr="006E39CD">
        <w:rPr>
          <w:rFonts w:ascii="Times New Roman" w:hAnsi="Times New Roman" w:cs="Times New Roman"/>
          <w:sz w:val="20"/>
          <w:szCs w:val="20"/>
        </w:rPr>
        <w:t>When there is a high probability of resource collision with Rel-14 UEs</w:t>
      </w:r>
      <w:r w:rsidR="005D6DDB">
        <w:rPr>
          <w:rFonts w:ascii="Times New Roman" w:hAnsi="Times New Roman" w:cs="Times New Roman"/>
          <w:sz w:val="20"/>
          <w:szCs w:val="20"/>
        </w:rPr>
        <w:t>.</w:t>
      </w:r>
    </w:p>
    <w:p w14:paraId="506955A3" w14:textId="48CB31F8" w:rsidR="00BE6B51" w:rsidRDefault="007F7D93" w:rsidP="006E39CD">
      <w:pPr>
        <w:spacing w:before="240"/>
        <w:jc w:val="both"/>
      </w:pPr>
      <w:r w:rsidRPr="00842C9C">
        <w:t xml:space="preserve">In our understanding, </w:t>
      </w:r>
      <w:r w:rsidR="004C52E0">
        <w:t>the choice of transmit diversity scheme depends on two aspects</w:t>
      </w:r>
      <w:r w:rsidR="002E10F4">
        <w:t xml:space="preserve"> </w:t>
      </w:r>
      <w:r w:rsidR="002E10F4">
        <w:fldChar w:fldCharType="begin"/>
      </w:r>
      <w:r w:rsidR="002E10F4">
        <w:instrText xml:space="preserve"> REF _Ref506533090 \r \h </w:instrText>
      </w:r>
      <w:r w:rsidR="002E10F4">
        <w:fldChar w:fldCharType="separate"/>
      </w:r>
      <w:r w:rsidR="002E10F4">
        <w:t>[10]</w:t>
      </w:r>
      <w:r w:rsidR="002E10F4">
        <w:fldChar w:fldCharType="end"/>
      </w:r>
      <w:r w:rsidR="004C52E0">
        <w:t>:</w:t>
      </w:r>
    </w:p>
    <w:p w14:paraId="03AC8410" w14:textId="240F7194" w:rsidR="007F7D93" w:rsidRPr="00842C9C" w:rsidRDefault="007F7D93" w:rsidP="006E39CD">
      <w:pPr>
        <w:pStyle w:val="ListParagraph"/>
        <w:numPr>
          <w:ilvl w:val="0"/>
          <w:numId w:val="8"/>
        </w:numPr>
        <w:jc w:val="both"/>
      </w:pPr>
      <w:r w:rsidRPr="006E39CD">
        <w:rPr>
          <w:rFonts w:ascii="Times New Roman" w:hAnsi="Times New Roman" w:cs="Times New Roman"/>
          <w:sz w:val="20"/>
          <w:szCs w:val="20"/>
        </w:rPr>
        <w:t>Higher layers (RAN2) are aware of the service associated with the packet</w:t>
      </w:r>
      <w:r w:rsidR="00ED56EF">
        <w:rPr>
          <w:rFonts w:ascii="Times New Roman" w:hAnsi="Times New Roman" w:cs="Times New Roman"/>
          <w:sz w:val="20"/>
          <w:szCs w:val="20"/>
        </w:rPr>
        <w:t xml:space="preserve"> </w:t>
      </w:r>
      <w:r w:rsidR="00451532">
        <w:rPr>
          <w:rFonts w:ascii="Times New Roman" w:hAnsi="Times New Roman" w:cs="Times New Roman"/>
          <w:sz w:val="20"/>
          <w:szCs w:val="20"/>
        </w:rPr>
        <w:t xml:space="preserve">and whether </w:t>
      </w:r>
      <w:r w:rsidR="00F4157D">
        <w:rPr>
          <w:rFonts w:ascii="Times New Roman" w:hAnsi="Times New Roman" w:cs="Times New Roman"/>
          <w:sz w:val="20"/>
          <w:szCs w:val="20"/>
        </w:rPr>
        <w:t>transmit diversity is supported for that packet.</w:t>
      </w:r>
    </w:p>
    <w:p w14:paraId="2A61B4F6" w14:textId="2F6AAAB1" w:rsidR="00BC5FA0" w:rsidRPr="00434A44" w:rsidRDefault="007F7D93" w:rsidP="00EE3196">
      <w:pPr>
        <w:pStyle w:val="ListParagraph"/>
        <w:numPr>
          <w:ilvl w:val="0"/>
          <w:numId w:val="8"/>
        </w:numPr>
        <w:jc w:val="both"/>
        <w:rPr>
          <w:rFonts w:ascii="Times New Roman" w:hAnsi="Times New Roman" w:cs="Times New Roman"/>
          <w:sz w:val="20"/>
          <w:szCs w:val="20"/>
        </w:rPr>
      </w:pPr>
      <w:r w:rsidRPr="006E39CD">
        <w:rPr>
          <w:rFonts w:ascii="Times New Roman" w:hAnsi="Times New Roman" w:cs="Times New Roman"/>
          <w:sz w:val="20"/>
          <w:szCs w:val="20"/>
        </w:rPr>
        <w:t xml:space="preserve">The PHY layer encodes the TB using </w:t>
      </w:r>
      <w:r w:rsidR="00EE3196">
        <w:rPr>
          <w:rFonts w:ascii="Times New Roman" w:hAnsi="Times New Roman" w:cs="Times New Roman"/>
          <w:sz w:val="20"/>
          <w:szCs w:val="20"/>
        </w:rPr>
        <w:t>transmit diversity if it is supported by the service and there are no further restrictions on the use of</w:t>
      </w:r>
      <w:r w:rsidR="00EE3196" w:rsidRPr="00434A44">
        <w:rPr>
          <w:rFonts w:ascii="Times New Roman" w:hAnsi="Times New Roman" w:cs="Times New Roman"/>
          <w:sz w:val="20"/>
          <w:szCs w:val="20"/>
        </w:rPr>
        <w:t xml:space="preserve"> transmit diversity. </w:t>
      </w:r>
    </w:p>
    <w:p w14:paraId="33380A58" w14:textId="1319C231" w:rsidR="00C824D2" w:rsidRPr="00C3081F" w:rsidRDefault="00C824D2" w:rsidP="00C3081F">
      <w:pPr>
        <w:pStyle w:val="ListParagraph"/>
        <w:numPr>
          <w:ilvl w:val="1"/>
          <w:numId w:val="8"/>
        </w:numPr>
        <w:jc w:val="both"/>
        <w:rPr>
          <w:rFonts w:ascii="Times New Roman" w:hAnsi="Times New Roman" w:cs="Times New Roman"/>
          <w:sz w:val="20"/>
          <w:szCs w:val="20"/>
        </w:rPr>
      </w:pPr>
      <w:r w:rsidRPr="00C3081F">
        <w:rPr>
          <w:rFonts w:ascii="Times New Roman" w:hAnsi="Times New Roman" w:cs="Times New Roman"/>
          <w:sz w:val="20"/>
          <w:szCs w:val="20"/>
        </w:rPr>
        <w:t xml:space="preserve">One TB </w:t>
      </w:r>
      <w:r w:rsidR="00481D81" w:rsidRPr="00C3081F">
        <w:rPr>
          <w:rFonts w:ascii="Times New Roman" w:hAnsi="Times New Roman" w:cs="Times New Roman"/>
          <w:sz w:val="20"/>
          <w:szCs w:val="20"/>
        </w:rPr>
        <w:t xml:space="preserve">may contain data from multiple LCIDs but </w:t>
      </w:r>
      <w:r w:rsidR="00D25652" w:rsidRPr="00C3081F">
        <w:rPr>
          <w:rFonts w:ascii="Times New Roman" w:hAnsi="Times New Roman" w:cs="Times New Roman"/>
          <w:sz w:val="20"/>
          <w:szCs w:val="20"/>
        </w:rPr>
        <w:t xml:space="preserve">all belonging to the same service. </w:t>
      </w:r>
    </w:p>
    <w:p w14:paraId="37961757" w14:textId="215954BE" w:rsidR="007F7D93" w:rsidRPr="00842C9C" w:rsidRDefault="007F7D93" w:rsidP="006E39CD">
      <w:pPr>
        <w:spacing w:before="240"/>
        <w:rPr>
          <w:b/>
          <w:i/>
        </w:rPr>
      </w:pPr>
      <w:bookmarkStart w:id="8" w:name="_Hlk506469250"/>
      <w:r w:rsidRPr="006E39CD">
        <w:rPr>
          <w:b/>
          <w:i/>
        </w:rPr>
        <w:t>Observation</w:t>
      </w:r>
      <w:r w:rsidR="00243A6B" w:rsidRPr="00842C9C">
        <w:rPr>
          <w:b/>
          <w:i/>
        </w:rPr>
        <w:t xml:space="preserve"> 1</w:t>
      </w:r>
      <w:r w:rsidRPr="006E39CD">
        <w:rPr>
          <w:b/>
          <w:i/>
        </w:rPr>
        <w:t>:</w:t>
      </w:r>
    </w:p>
    <w:p w14:paraId="4991ADC4" w14:textId="2A231ACC" w:rsidR="00BE0BCF" w:rsidRPr="006E39CD" w:rsidRDefault="004C376C" w:rsidP="006E39CD">
      <w:pPr>
        <w:pStyle w:val="ListParagraph"/>
        <w:numPr>
          <w:ilvl w:val="0"/>
          <w:numId w:val="18"/>
        </w:numPr>
        <w:spacing w:before="240"/>
        <w:rPr>
          <w:b/>
          <w:i/>
          <w:sz w:val="20"/>
          <w:szCs w:val="20"/>
        </w:rPr>
      </w:pPr>
      <w:r>
        <w:rPr>
          <w:rFonts w:ascii="Times New Roman" w:hAnsi="Times New Roman" w:cs="Times New Roman"/>
          <w:b/>
          <w:i/>
          <w:sz w:val="20"/>
          <w:szCs w:val="20"/>
        </w:rPr>
        <w:t>Higher layers are aware of the V2X service associated with a packet and whether transmit diversity is supported for that packet or not.</w:t>
      </w:r>
    </w:p>
    <w:p w14:paraId="63FBEA5A" w14:textId="6971F4EF" w:rsidR="00BE0BCF" w:rsidRPr="00D112B3" w:rsidRDefault="00BE0BCF" w:rsidP="006E39CD">
      <w:pPr>
        <w:spacing w:before="240"/>
        <w:rPr>
          <w:b/>
          <w:i/>
        </w:rPr>
      </w:pPr>
      <w:r w:rsidRPr="00D112B3">
        <w:rPr>
          <w:b/>
          <w:i/>
        </w:rPr>
        <w:t>Proposal</w:t>
      </w:r>
      <w:r w:rsidR="00243A6B" w:rsidRPr="00D112B3">
        <w:rPr>
          <w:b/>
          <w:i/>
        </w:rPr>
        <w:t xml:space="preserve"> </w:t>
      </w:r>
      <w:r w:rsidR="005B2244" w:rsidRPr="00D112B3">
        <w:rPr>
          <w:b/>
          <w:i/>
        </w:rPr>
        <w:t>3</w:t>
      </w:r>
      <w:r w:rsidRPr="00D112B3">
        <w:rPr>
          <w:b/>
          <w:i/>
        </w:rPr>
        <w:t>:</w:t>
      </w:r>
    </w:p>
    <w:p w14:paraId="75FD0889" w14:textId="463D2DD6" w:rsidR="00890511" w:rsidRDefault="00C46D47" w:rsidP="00434A44">
      <w:pPr>
        <w:pStyle w:val="ListParagraph"/>
        <w:numPr>
          <w:ilvl w:val="0"/>
          <w:numId w:val="18"/>
        </w:numPr>
        <w:rPr>
          <w:rFonts w:ascii="Times New Roman" w:hAnsi="Times New Roman" w:cs="Times New Roman"/>
          <w:b/>
          <w:i/>
          <w:sz w:val="20"/>
          <w:szCs w:val="20"/>
        </w:rPr>
      </w:pPr>
      <w:r w:rsidRPr="00C3081F">
        <w:rPr>
          <w:rFonts w:ascii="Times New Roman" w:hAnsi="Times New Roman" w:cs="Times New Roman"/>
          <w:b/>
          <w:i/>
          <w:sz w:val="20"/>
          <w:szCs w:val="20"/>
        </w:rPr>
        <w:t>PHY uses transmit diversity for encoding a TB if</w:t>
      </w:r>
      <w:r w:rsidR="00191C6C">
        <w:rPr>
          <w:rFonts w:ascii="Times New Roman" w:hAnsi="Times New Roman" w:cs="Times New Roman"/>
          <w:b/>
          <w:i/>
          <w:sz w:val="20"/>
          <w:szCs w:val="20"/>
        </w:rPr>
        <w:t xml:space="preserve"> the following two conditions hold:</w:t>
      </w:r>
    </w:p>
    <w:p w14:paraId="09D40B94" w14:textId="218B79BF" w:rsidR="00191C6C" w:rsidRDefault="00191C6C" w:rsidP="00191C6C">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The service associated with the TB allows the use of transmit diversity.</w:t>
      </w:r>
    </w:p>
    <w:p w14:paraId="31FFD1C7" w14:textId="1FC7DD6D" w:rsidR="00191C6C" w:rsidRDefault="00191C6C" w:rsidP="00C3081F">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There are no PHY</w:t>
      </w:r>
      <w:r w:rsidR="00130C71">
        <w:rPr>
          <w:rFonts w:ascii="Times New Roman" w:hAnsi="Times New Roman" w:cs="Times New Roman"/>
          <w:b/>
          <w:i/>
          <w:sz w:val="20"/>
          <w:szCs w:val="20"/>
        </w:rPr>
        <w:t>-layer restrictions on the use of transmit diversity.</w:t>
      </w:r>
    </w:p>
    <w:p w14:paraId="181C7205" w14:textId="7E6AB5FF" w:rsidR="00BA1052" w:rsidRDefault="00A60349" w:rsidP="00A60349">
      <w:pPr>
        <w:pStyle w:val="BodyText"/>
        <w:spacing w:before="240" w:after="240"/>
        <w:jc w:val="both"/>
        <w:rPr>
          <w:sz w:val="20"/>
          <w:szCs w:val="20"/>
        </w:rPr>
      </w:pPr>
      <w:r>
        <w:rPr>
          <w:sz w:val="20"/>
          <w:szCs w:val="20"/>
        </w:rPr>
        <w:lastRenderedPageBreak/>
        <w:t xml:space="preserve">As per current agreements, </w:t>
      </w:r>
      <w:r w:rsidR="00373E4A" w:rsidRPr="005B2244">
        <w:rPr>
          <w:sz w:val="20"/>
          <w:szCs w:val="20"/>
        </w:rPr>
        <w:t xml:space="preserve">the PHY layer should be </w:t>
      </w:r>
      <w:r w:rsidR="00E024DC">
        <w:rPr>
          <w:sz w:val="20"/>
          <w:szCs w:val="20"/>
        </w:rPr>
        <w:t>responsible for</w:t>
      </w:r>
      <w:r w:rsidR="00373E4A" w:rsidRPr="005B2244">
        <w:rPr>
          <w:sz w:val="20"/>
          <w:szCs w:val="20"/>
        </w:rPr>
        <w:t xml:space="preserve"> applying further restrictions under high load of Rel-14 UEs</w:t>
      </w:r>
      <w:r w:rsidR="009C011C">
        <w:rPr>
          <w:sz w:val="20"/>
          <w:szCs w:val="20"/>
        </w:rPr>
        <w:t xml:space="preserve"> or high probability of resource collision with Rel-14 UEs</w:t>
      </w:r>
      <w:r w:rsidR="00373E4A" w:rsidRPr="005B2244">
        <w:rPr>
          <w:sz w:val="20"/>
          <w:szCs w:val="20"/>
        </w:rPr>
        <w:t>.</w:t>
      </w:r>
      <w:r w:rsidR="00243A6B" w:rsidRPr="005B2244">
        <w:rPr>
          <w:sz w:val="20"/>
          <w:szCs w:val="20"/>
        </w:rPr>
        <w:t xml:space="preserve"> </w:t>
      </w:r>
      <w:r w:rsidR="00F2050D">
        <w:rPr>
          <w:sz w:val="20"/>
          <w:szCs w:val="20"/>
        </w:rPr>
        <w:t>In our view, there are two possibl</w:t>
      </w:r>
      <w:r w:rsidR="00CB60D2">
        <w:rPr>
          <w:sz w:val="20"/>
          <w:szCs w:val="20"/>
        </w:rPr>
        <w:t xml:space="preserve">e ways to </w:t>
      </w:r>
      <w:r w:rsidR="00BA1052">
        <w:rPr>
          <w:sz w:val="20"/>
          <w:szCs w:val="20"/>
        </w:rPr>
        <w:t>implement such restrictions:</w:t>
      </w:r>
    </w:p>
    <w:p w14:paraId="77CBDFC6" w14:textId="77777777" w:rsidR="00BA2388" w:rsidRDefault="00BA1052" w:rsidP="00C3081F">
      <w:pPr>
        <w:pStyle w:val="BodyText"/>
        <w:numPr>
          <w:ilvl w:val="0"/>
          <w:numId w:val="23"/>
        </w:numPr>
        <w:spacing w:before="240"/>
        <w:jc w:val="both"/>
        <w:rPr>
          <w:sz w:val="20"/>
          <w:szCs w:val="20"/>
        </w:rPr>
      </w:pPr>
      <w:r>
        <w:rPr>
          <w:sz w:val="20"/>
          <w:szCs w:val="20"/>
        </w:rPr>
        <w:t>CBR thresholds. Transmit diversity is allowe</w:t>
      </w:r>
      <w:r w:rsidR="00BA2388">
        <w:rPr>
          <w:sz w:val="20"/>
          <w:szCs w:val="20"/>
        </w:rPr>
        <w:t xml:space="preserve">d only when the measured CBR in a pool is below a certain threshold. </w:t>
      </w:r>
    </w:p>
    <w:p w14:paraId="31F94B29" w14:textId="10FF6E5A" w:rsidR="00BA3C56" w:rsidRDefault="009369B8" w:rsidP="00C3081F">
      <w:pPr>
        <w:pStyle w:val="BodyText"/>
        <w:numPr>
          <w:ilvl w:val="0"/>
          <w:numId w:val="23"/>
        </w:numPr>
        <w:jc w:val="both"/>
        <w:rPr>
          <w:sz w:val="20"/>
          <w:szCs w:val="20"/>
        </w:rPr>
      </w:pPr>
      <w:r>
        <w:rPr>
          <w:sz w:val="20"/>
          <w:szCs w:val="20"/>
        </w:rPr>
        <w:t xml:space="preserve">Comparing the </w:t>
      </w:r>
      <w:r w:rsidR="004B6529">
        <w:rPr>
          <w:sz w:val="20"/>
          <w:szCs w:val="20"/>
        </w:rPr>
        <w:t>amount of resources containing decoded</w:t>
      </w:r>
      <w:r w:rsidR="00417212">
        <w:rPr>
          <w:sz w:val="20"/>
          <w:szCs w:val="20"/>
        </w:rPr>
        <w:t xml:space="preserve"> </w:t>
      </w:r>
      <w:r>
        <w:rPr>
          <w:sz w:val="20"/>
          <w:szCs w:val="20"/>
        </w:rPr>
        <w:t>Rel</w:t>
      </w:r>
      <w:r w:rsidR="00C13089">
        <w:rPr>
          <w:sz w:val="20"/>
          <w:szCs w:val="20"/>
        </w:rPr>
        <w:t>-14</w:t>
      </w:r>
      <w:r w:rsidR="00DC457E">
        <w:rPr>
          <w:sz w:val="20"/>
          <w:szCs w:val="20"/>
        </w:rPr>
        <w:t xml:space="preserve"> transmissions to the total number of available resources.</w:t>
      </w:r>
    </w:p>
    <w:p w14:paraId="06F9E211" w14:textId="32394006" w:rsidR="00F160D8" w:rsidRDefault="00DC457E" w:rsidP="00A60349">
      <w:pPr>
        <w:pStyle w:val="BodyText"/>
        <w:spacing w:before="240" w:after="240"/>
        <w:jc w:val="both"/>
        <w:rPr>
          <w:sz w:val="20"/>
          <w:szCs w:val="20"/>
        </w:rPr>
      </w:pPr>
      <w:r>
        <w:rPr>
          <w:sz w:val="20"/>
          <w:szCs w:val="20"/>
        </w:rPr>
        <w:t xml:space="preserve">The first option cannot discriminate between Rel-14 and Rel-15 transmissions. </w:t>
      </w:r>
      <w:r w:rsidR="00F160D8">
        <w:rPr>
          <w:sz w:val="20"/>
          <w:szCs w:val="20"/>
        </w:rPr>
        <w:t xml:space="preserve">In contrast, the second approach </w:t>
      </w:r>
      <w:r w:rsidR="006420C2">
        <w:rPr>
          <w:sz w:val="20"/>
          <w:szCs w:val="20"/>
        </w:rPr>
        <w:t xml:space="preserve">follows closely the existing RAN1 agreement. </w:t>
      </w:r>
    </w:p>
    <w:p w14:paraId="77AFCB95" w14:textId="77777777" w:rsidR="00DC457E" w:rsidRPr="006E39CD" w:rsidRDefault="00DC457E" w:rsidP="00DC457E">
      <w:pPr>
        <w:rPr>
          <w:b/>
          <w:i/>
        </w:rPr>
      </w:pPr>
      <w:r w:rsidRPr="006E39CD">
        <w:rPr>
          <w:b/>
          <w:i/>
        </w:rPr>
        <w:t>Proposal 4:</w:t>
      </w:r>
    </w:p>
    <w:p w14:paraId="20750EE1" w14:textId="149067B6" w:rsidR="00071DD8" w:rsidRDefault="00C80A10" w:rsidP="00DC457E">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Transmit diversity for PS</w:t>
      </w:r>
      <w:r w:rsidR="00417212">
        <w:rPr>
          <w:rFonts w:ascii="Times New Roman" w:hAnsi="Times New Roman" w:cs="Times New Roman"/>
          <w:b/>
          <w:i/>
          <w:sz w:val="20"/>
          <w:szCs w:val="20"/>
        </w:rPr>
        <w:t>S</w:t>
      </w:r>
      <w:r>
        <w:rPr>
          <w:rFonts w:ascii="Times New Roman" w:hAnsi="Times New Roman" w:cs="Times New Roman"/>
          <w:b/>
          <w:i/>
          <w:sz w:val="20"/>
          <w:szCs w:val="20"/>
        </w:rPr>
        <w:t xml:space="preserve">CH shall not be </w:t>
      </w:r>
      <w:r w:rsidR="00071DD8">
        <w:rPr>
          <w:rFonts w:ascii="Times New Roman" w:hAnsi="Times New Roman" w:cs="Times New Roman"/>
          <w:b/>
          <w:i/>
          <w:sz w:val="20"/>
          <w:szCs w:val="20"/>
        </w:rPr>
        <w:t>used</w:t>
      </w:r>
      <w:r w:rsidR="00DC457E">
        <w:rPr>
          <w:rFonts w:ascii="Times New Roman" w:hAnsi="Times New Roman" w:cs="Times New Roman"/>
          <w:b/>
          <w:i/>
          <w:sz w:val="20"/>
          <w:szCs w:val="20"/>
        </w:rPr>
        <w:t xml:space="preserve"> </w:t>
      </w:r>
      <w:r w:rsidR="00C66970">
        <w:rPr>
          <w:rFonts w:ascii="Times New Roman" w:hAnsi="Times New Roman" w:cs="Times New Roman"/>
          <w:b/>
          <w:i/>
          <w:sz w:val="20"/>
          <w:szCs w:val="20"/>
        </w:rPr>
        <w:t xml:space="preserve">if the ratio of resources containing decoded Rel-14 transmissions </w:t>
      </w:r>
      <w:r>
        <w:rPr>
          <w:rFonts w:ascii="Times New Roman" w:hAnsi="Times New Roman" w:cs="Times New Roman"/>
          <w:b/>
          <w:i/>
          <w:sz w:val="20"/>
          <w:szCs w:val="20"/>
        </w:rPr>
        <w:t>to the total number of resources</w:t>
      </w:r>
      <w:r w:rsidR="00071DD8">
        <w:rPr>
          <w:rFonts w:ascii="Times New Roman" w:hAnsi="Times New Roman" w:cs="Times New Roman"/>
          <w:b/>
          <w:i/>
          <w:sz w:val="20"/>
          <w:szCs w:val="20"/>
        </w:rPr>
        <w:t xml:space="preserve"> is above a (pre-)configured threshold for that pool.</w:t>
      </w:r>
    </w:p>
    <w:p w14:paraId="2E2219DA" w14:textId="06CAA82E" w:rsidR="00DC457E" w:rsidRDefault="00071DD8" w:rsidP="00C3081F">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 xml:space="preserve">Setting the threshold to 0 </w:t>
      </w:r>
      <w:r w:rsidR="008C1D7D">
        <w:rPr>
          <w:rFonts w:ascii="Times New Roman" w:hAnsi="Times New Roman" w:cs="Times New Roman"/>
          <w:b/>
          <w:i/>
          <w:sz w:val="20"/>
          <w:szCs w:val="20"/>
        </w:rPr>
        <w:t>prevents altogether the use of transmission diversity in the pool.</w:t>
      </w:r>
    </w:p>
    <w:bookmarkEnd w:id="8"/>
    <w:p w14:paraId="1F7B07EF" w14:textId="59C0C077" w:rsidR="00214FF0" w:rsidRDefault="00214FF0" w:rsidP="00214FF0">
      <w:pPr>
        <w:pStyle w:val="Heading1"/>
      </w:pPr>
      <w:r w:rsidRPr="00C3081F">
        <w:t>Impact</w:t>
      </w:r>
      <w:r>
        <w:t xml:space="preserve"> on sensing</w:t>
      </w:r>
    </w:p>
    <w:p w14:paraId="52A47058" w14:textId="216A013E" w:rsidR="00214FF0" w:rsidRDefault="0048739D" w:rsidP="005D4BA9">
      <w:pPr>
        <w:jc w:val="both"/>
      </w:pPr>
      <w:r>
        <w:t xml:space="preserve">As described by RAN4 in </w:t>
      </w:r>
      <w:r>
        <w:fldChar w:fldCharType="begin"/>
      </w:r>
      <w:r>
        <w:instrText xml:space="preserve"> REF _Ref506292678 \r \h </w:instrText>
      </w:r>
      <w:r>
        <w:fldChar w:fldCharType="separate"/>
      </w:r>
      <w:r>
        <w:t>[6]</w:t>
      </w:r>
      <w:r>
        <w:fldChar w:fldCharType="end"/>
      </w:r>
      <w:r>
        <w:t xml:space="preserve">, the </w:t>
      </w:r>
      <w:r w:rsidR="00A94BF4">
        <w:t>RSR</w:t>
      </w:r>
      <w:r w:rsidR="00F12580">
        <w:t>P</w:t>
      </w:r>
      <w:r w:rsidR="00A94BF4">
        <w:t xml:space="preserve"> measurements performed on </w:t>
      </w:r>
      <w:r w:rsidR="0054177C">
        <w:t>transmissions using diver</w:t>
      </w:r>
      <w:r w:rsidR="005D4BA9">
        <w:t>s</w:t>
      </w:r>
      <w:r w:rsidR="0054177C">
        <w:t>ity</w:t>
      </w:r>
      <w:r w:rsidR="00A94BF4">
        <w:t xml:space="preserve"> may </w:t>
      </w:r>
      <w:r w:rsidR="00621059">
        <w:t xml:space="preserve">show a </w:t>
      </w:r>
      <w:r w:rsidR="00AE5FD6">
        <w:t xml:space="preserve">3 dB </w:t>
      </w:r>
      <w:r w:rsidR="00365DE4">
        <w:t xml:space="preserve">loss compared to </w:t>
      </w:r>
      <w:r w:rsidR="0054177C">
        <w:t xml:space="preserve">those performed on signals transmitted </w:t>
      </w:r>
      <w:r w:rsidR="005D4BA9">
        <w:t>without diversity.</w:t>
      </w:r>
      <w:r w:rsidR="00D5400F">
        <w:t xml:space="preserve"> </w:t>
      </w:r>
      <w:r w:rsidR="00AA0E79">
        <w:t>W</w:t>
      </w:r>
      <w:r w:rsidR="00D5400F">
        <w:t xml:space="preserve">e </w:t>
      </w:r>
      <w:r w:rsidR="00C42EB4">
        <w:t>believe that giving the same importance to both types of signals is beneficial in terms of coexistence</w:t>
      </w:r>
      <w:r w:rsidR="006E7285">
        <w:t>.</w:t>
      </w:r>
      <w:r w:rsidR="00D5400F">
        <w:t xml:space="preserve"> </w:t>
      </w:r>
      <w:r w:rsidR="005D4BA9">
        <w:t xml:space="preserve"> </w:t>
      </w:r>
    </w:p>
    <w:p w14:paraId="0D82587E" w14:textId="7CE6D493" w:rsidR="006E7285" w:rsidRPr="006E39CD" w:rsidRDefault="006E7285" w:rsidP="006E7285">
      <w:pPr>
        <w:rPr>
          <w:b/>
          <w:i/>
        </w:rPr>
      </w:pPr>
      <w:r w:rsidRPr="006E39CD">
        <w:rPr>
          <w:b/>
          <w:i/>
        </w:rPr>
        <w:t xml:space="preserve">Proposal </w:t>
      </w:r>
      <w:r>
        <w:rPr>
          <w:b/>
          <w:i/>
        </w:rPr>
        <w:t>5</w:t>
      </w:r>
      <w:r w:rsidRPr="006E39CD">
        <w:rPr>
          <w:b/>
          <w:i/>
        </w:rPr>
        <w:t>:</w:t>
      </w:r>
    </w:p>
    <w:p w14:paraId="5C899B8F" w14:textId="7ABE7E23" w:rsidR="006E7285" w:rsidRDefault="006E7285" w:rsidP="006E7285">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 xml:space="preserve">RSRP measurements on </w:t>
      </w:r>
      <w:r w:rsidR="00A4476B">
        <w:rPr>
          <w:rFonts w:ascii="Times New Roman" w:hAnsi="Times New Roman" w:cs="Times New Roman"/>
          <w:b/>
          <w:i/>
          <w:sz w:val="20"/>
          <w:szCs w:val="20"/>
        </w:rPr>
        <w:t>transmissions diversity are increased by 3 dB</w:t>
      </w:r>
      <w:r>
        <w:rPr>
          <w:rFonts w:ascii="Times New Roman" w:hAnsi="Times New Roman" w:cs="Times New Roman"/>
          <w:b/>
          <w:i/>
          <w:sz w:val="20"/>
          <w:szCs w:val="20"/>
        </w:rPr>
        <w:t>.</w:t>
      </w:r>
    </w:p>
    <w:p w14:paraId="3C4455C8" w14:textId="4615DD32" w:rsidR="00706C19" w:rsidRPr="00744368" w:rsidRDefault="00706C19" w:rsidP="00706C19">
      <w:pPr>
        <w:pStyle w:val="Heading1"/>
      </w:pPr>
      <w:r w:rsidRPr="00744368">
        <w:t xml:space="preserve">Conclusion </w:t>
      </w:r>
    </w:p>
    <w:p w14:paraId="40959AD3" w14:textId="54F16943" w:rsidR="00623368" w:rsidRPr="003314CC" w:rsidRDefault="00706C19" w:rsidP="003314CC">
      <w:pPr>
        <w:pStyle w:val="BodyText"/>
        <w:spacing w:before="240" w:after="240"/>
        <w:jc w:val="both"/>
        <w:rPr>
          <w:spacing w:val="2"/>
          <w:sz w:val="20"/>
          <w:szCs w:val="20"/>
        </w:rPr>
      </w:pPr>
      <w:r w:rsidRPr="003314CC">
        <w:rPr>
          <w:spacing w:val="2"/>
          <w:sz w:val="20"/>
          <w:szCs w:val="20"/>
        </w:rPr>
        <w:t>In this contribution</w:t>
      </w:r>
      <w:r w:rsidR="008046F4">
        <w:rPr>
          <w:spacing w:val="2"/>
          <w:sz w:val="20"/>
          <w:szCs w:val="20"/>
        </w:rPr>
        <w:t>,</w:t>
      </w:r>
      <w:r w:rsidRPr="003314CC">
        <w:rPr>
          <w:spacing w:val="2"/>
          <w:sz w:val="20"/>
          <w:szCs w:val="20"/>
        </w:rPr>
        <w:t xml:space="preserve"> we </w:t>
      </w:r>
      <w:r w:rsidR="00954578" w:rsidRPr="003314CC">
        <w:rPr>
          <w:spacing w:val="2"/>
          <w:sz w:val="20"/>
          <w:szCs w:val="20"/>
        </w:rPr>
        <w:t xml:space="preserve">have </w:t>
      </w:r>
      <w:r w:rsidR="008046F4">
        <w:rPr>
          <w:spacing w:val="2"/>
          <w:sz w:val="20"/>
          <w:szCs w:val="20"/>
        </w:rPr>
        <w:t xml:space="preserve">discussed </w:t>
      </w:r>
      <w:r w:rsidR="008046F4" w:rsidRPr="008046F4">
        <w:rPr>
          <w:spacing w:val="2"/>
          <w:sz w:val="20"/>
          <w:szCs w:val="20"/>
        </w:rPr>
        <w:t xml:space="preserve">the cyclic delay value of CDD scheme applied to PSCCH transmission and the transmit diversity scheme applied to PSSCH transmission. </w:t>
      </w:r>
      <w:r w:rsidR="00E024DC">
        <w:rPr>
          <w:spacing w:val="2"/>
          <w:sz w:val="20"/>
          <w:szCs w:val="20"/>
        </w:rPr>
        <w:t>We have observed and proposed the following</w:t>
      </w:r>
      <w:r w:rsidR="003314CC" w:rsidRPr="003314CC">
        <w:rPr>
          <w:spacing w:val="2"/>
          <w:sz w:val="20"/>
          <w:szCs w:val="20"/>
        </w:rPr>
        <w:t>:</w:t>
      </w:r>
    </w:p>
    <w:p w14:paraId="2A1B2D7F" w14:textId="77777777" w:rsidR="00E54A0A" w:rsidRPr="00EA2981" w:rsidRDefault="00E54A0A" w:rsidP="00E54A0A">
      <w:pPr>
        <w:pStyle w:val="BodyText"/>
        <w:spacing w:after="240"/>
        <w:jc w:val="both"/>
        <w:rPr>
          <w:b/>
          <w:i/>
          <w:sz w:val="20"/>
          <w:szCs w:val="20"/>
        </w:rPr>
      </w:pPr>
      <w:r w:rsidRPr="00EA2981">
        <w:rPr>
          <w:b/>
          <w:i/>
          <w:sz w:val="20"/>
          <w:szCs w:val="20"/>
        </w:rPr>
        <w:t xml:space="preserve">Proposal 1: </w:t>
      </w:r>
    </w:p>
    <w:p w14:paraId="6FAD320F" w14:textId="77777777" w:rsidR="00E54A0A" w:rsidRPr="00EA2981" w:rsidRDefault="00E54A0A" w:rsidP="00E54A0A">
      <w:pPr>
        <w:numPr>
          <w:ilvl w:val="0"/>
          <w:numId w:val="13"/>
        </w:numPr>
        <w:spacing w:after="0"/>
        <w:rPr>
          <w:b/>
          <w:i/>
          <w:lang w:val="en-US"/>
        </w:rPr>
      </w:pPr>
      <w:r w:rsidRPr="00EA2981">
        <w:rPr>
          <w:b/>
          <w:i/>
          <w:lang w:val="en-US"/>
        </w:rPr>
        <w:t>For PSCCH, the cyclic delay value applied to small delay CDD is left for UE implementation. However, an upper bound and a lower bound of the used cyclic delay value are (pre-)configured.</w:t>
      </w:r>
    </w:p>
    <w:p w14:paraId="07625679" w14:textId="77777777" w:rsidR="00155CF9" w:rsidRPr="006E39CD" w:rsidRDefault="00155CF9" w:rsidP="00155CF9">
      <w:pPr>
        <w:spacing w:before="240" w:after="120"/>
        <w:jc w:val="both"/>
        <w:rPr>
          <w:b/>
          <w:i/>
        </w:rPr>
      </w:pPr>
      <w:r w:rsidRPr="006E39CD">
        <w:rPr>
          <w:b/>
          <w:i/>
        </w:rPr>
        <w:t xml:space="preserve">Proposal 2: </w:t>
      </w:r>
    </w:p>
    <w:p w14:paraId="629C1B13" w14:textId="77777777" w:rsidR="00155CF9" w:rsidRPr="006E39CD" w:rsidRDefault="00155CF9" w:rsidP="00155CF9">
      <w:pPr>
        <w:pStyle w:val="ListParagraph"/>
        <w:numPr>
          <w:ilvl w:val="0"/>
          <w:numId w:val="19"/>
        </w:numPr>
        <w:rPr>
          <w:rFonts w:ascii="Times New Roman" w:hAnsi="Times New Roman" w:cs="Times New Roman"/>
          <w:b/>
          <w:i/>
          <w:sz w:val="20"/>
        </w:rPr>
      </w:pPr>
      <w:r>
        <w:rPr>
          <w:rFonts w:ascii="Times New Roman" w:hAnsi="Times New Roman" w:cs="Times New Roman"/>
          <w:b/>
          <w:i/>
          <w:sz w:val="20"/>
        </w:rPr>
        <w:t xml:space="preserve">Confirm the working assumption: SFBC is used for </w:t>
      </w:r>
      <w:r w:rsidRPr="006E39CD">
        <w:rPr>
          <w:rFonts w:ascii="Times New Roman" w:hAnsi="Times New Roman" w:cs="Times New Roman"/>
          <w:b/>
          <w:i/>
          <w:sz w:val="20"/>
        </w:rPr>
        <w:t>two-port non-transparent transmit diversity.</w:t>
      </w:r>
    </w:p>
    <w:p w14:paraId="017BECAD" w14:textId="77777777" w:rsidR="00155CF9" w:rsidRPr="00842C9C" w:rsidRDefault="00155CF9" w:rsidP="00155CF9">
      <w:pPr>
        <w:spacing w:before="240"/>
        <w:rPr>
          <w:b/>
          <w:i/>
        </w:rPr>
      </w:pPr>
      <w:r w:rsidRPr="006E39CD">
        <w:rPr>
          <w:b/>
          <w:i/>
        </w:rPr>
        <w:t>Observation</w:t>
      </w:r>
      <w:r w:rsidRPr="00842C9C">
        <w:rPr>
          <w:b/>
          <w:i/>
        </w:rPr>
        <w:t xml:space="preserve"> 1</w:t>
      </w:r>
      <w:r w:rsidRPr="006E39CD">
        <w:rPr>
          <w:b/>
          <w:i/>
        </w:rPr>
        <w:t>:</w:t>
      </w:r>
    </w:p>
    <w:p w14:paraId="0A334B9E" w14:textId="77777777" w:rsidR="00155CF9" w:rsidRPr="006E39CD" w:rsidRDefault="00155CF9" w:rsidP="00155CF9">
      <w:pPr>
        <w:pStyle w:val="ListParagraph"/>
        <w:numPr>
          <w:ilvl w:val="0"/>
          <w:numId w:val="18"/>
        </w:numPr>
        <w:spacing w:before="240"/>
        <w:rPr>
          <w:b/>
          <w:i/>
          <w:sz w:val="20"/>
          <w:szCs w:val="20"/>
        </w:rPr>
      </w:pPr>
      <w:r>
        <w:rPr>
          <w:rFonts w:ascii="Times New Roman" w:hAnsi="Times New Roman" w:cs="Times New Roman"/>
          <w:b/>
          <w:i/>
          <w:sz w:val="20"/>
          <w:szCs w:val="20"/>
        </w:rPr>
        <w:t>Higher layers are aware of the V2X service associated with a packet and whether transmit diversity is supported for that packet or not.</w:t>
      </w:r>
    </w:p>
    <w:p w14:paraId="6CE8AAAA" w14:textId="77777777" w:rsidR="00155CF9" w:rsidRPr="00D112B3" w:rsidRDefault="00155CF9" w:rsidP="00155CF9">
      <w:pPr>
        <w:spacing w:before="240"/>
        <w:rPr>
          <w:b/>
          <w:i/>
        </w:rPr>
      </w:pPr>
      <w:r w:rsidRPr="00D112B3">
        <w:rPr>
          <w:b/>
          <w:i/>
        </w:rPr>
        <w:t>Proposal 3:</w:t>
      </w:r>
    </w:p>
    <w:p w14:paraId="34E81EED" w14:textId="77777777" w:rsidR="00155CF9" w:rsidRDefault="00155CF9" w:rsidP="00155CF9">
      <w:pPr>
        <w:pStyle w:val="ListParagraph"/>
        <w:numPr>
          <w:ilvl w:val="0"/>
          <w:numId w:val="18"/>
        </w:numPr>
        <w:rPr>
          <w:rFonts w:ascii="Times New Roman" w:hAnsi="Times New Roman" w:cs="Times New Roman"/>
          <w:b/>
          <w:i/>
          <w:sz w:val="20"/>
          <w:szCs w:val="20"/>
        </w:rPr>
      </w:pPr>
      <w:r w:rsidRPr="00C3081F">
        <w:rPr>
          <w:rFonts w:ascii="Times New Roman" w:hAnsi="Times New Roman" w:cs="Times New Roman"/>
          <w:b/>
          <w:i/>
          <w:sz w:val="20"/>
          <w:szCs w:val="20"/>
        </w:rPr>
        <w:t>PHY uses transmit diversity for encoding a TB if</w:t>
      </w:r>
      <w:r>
        <w:rPr>
          <w:rFonts w:ascii="Times New Roman" w:hAnsi="Times New Roman" w:cs="Times New Roman"/>
          <w:b/>
          <w:i/>
          <w:sz w:val="20"/>
          <w:szCs w:val="20"/>
        </w:rPr>
        <w:t xml:space="preserve"> the following two conditions hold:</w:t>
      </w:r>
    </w:p>
    <w:p w14:paraId="47F74031" w14:textId="77777777" w:rsidR="00155CF9" w:rsidRDefault="00155CF9" w:rsidP="00155CF9">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The service associated with the TB allows the use of transmit diversity.</w:t>
      </w:r>
    </w:p>
    <w:p w14:paraId="73666653" w14:textId="77777777" w:rsidR="00155CF9" w:rsidRDefault="00155CF9" w:rsidP="00155CF9">
      <w:pPr>
        <w:pStyle w:val="ListParagraph"/>
        <w:numPr>
          <w:ilvl w:val="1"/>
          <w:numId w:val="18"/>
        </w:numPr>
        <w:rPr>
          <w:rFonts w:ascii="Times New Roman" w:hAnsi="Times New Roman" w:cs="Times New Roman"/>
          <w:b/>
          <w:i/>
          <w:sz w:val="20"/>
          <w:szCs w:val="20"/>
        </w:rPr>
      </w:pPr>
      <w:r>
        <w:rPr>
          <w:rFonts w:ascii="Times New Roman" w:hAnsi="Times New Roman" w:cs="Times New Roman"/>
          <w:b/>
          <w:i/>
          <w:sz w:val="20"/>
          <w:szCs w:val="20"/>
        </w:rPr>
        <w:t>There are no PHY-layer restrictions on the use of transmit diversity.</w:t>
      </w:r>
    </w:p>
    <w:p w14:paraId="7A9772C2" w14:textId="77777777" w:rsidR="00155CF9" w:rsidRPr="006E39CD" w:rsidRDefault="00155CF9" w:rsidP="00155CF9">
      <w:pPr>
        <w:rPr>
          <w:b/>
          <w:i/>
        </w:rPr>
      </w:pPr>
      <w:r w:rsidRPr="006E39CD">
        <w:rPr>
          <w:b/>
          <w:i/>
        </w:rPr>
        <w:t>Proposal 4:</w:t>
      </w:r>
    </w:p>
    <w:p w14:paraId="1F1A732A" w14:textId="77777777" w:rsidR="00155CF9" w:rsidRPr="005554F7" w:rsidRDefault="00155CF9" w:rsidP="00155CF9">
      <w:pPr>
        <w:pStyle w:val="ListParagraph"/>
        <w:numPr>
          <w:ilvl w:val="0"/>
          <w:numId w:val="18"/>
        </w:numPr>
        <w:rPr>
          <w:rFonts w:ascii="Times New Roman" w:hAnsi="Times New Roman" w:cs="Times New Roman"/>
          <w:b/>
          <w:i/>
          <w:sz w:val="20"/>
          <w:szCs w:val="20"/>
        </w:rPr>
      </w:pPr>
      <w:r>
        <w:rPr>
          <w:rFonts w:ascii="Times New Roman" w:hAnsi="Times New Roman" w:cs="Times New Roman"/>
          <w:b/>
          <w:i/>
          <w:sz w:val="20"/>
          <w:szCs w:val="20"/>
        </w:rPr>
        <w:t xml:space="preserve">Transmit diversity for PSSCH shall not be used if the ratio of </w:t>
      </w:r>
      <w:r w:rsidRPr="005554F7">
        <w:rPr>
          <w:rFonts w:ascii="Times New Roman" w:hAnsi="Times New Roman" w:cs="Times New Roman"/>
          <w:b/>
          <w:i/>
          <w:sz w:val="20"/>
          <w:szCs w:val="20"/>
        </w:rPr>
        <w:t>resources containing decoded Rel-14 transmissions to the total number of resources is above a (pre-)configured threshold for that pool.</w:t>
      </w:r>
    </w:p>
    <w:p w14:paraId="54C0E14E" w14:textId="77777777" w:rsidR="00155CF9" w:rsidRPr="005554F7" w:rsidRDefault="00155CF9" w:rsidP="00155CF9">
      <w:pPr>
        <w:pStyle w:val="ListParagraph"/>
        <w:numPr>
          <w:ilvl w:val="1"/>
          <w:numId w:val="18"/>
        </w:numPr>
        <w:rPr>
          <w:rFonts w:ascii="Times New Roman" w:hAnsi="Times New Roman" w:cs="Times New Roman"/>
          <w:b/>
          <w:i/>
          <w:sz w:val="20"/>
          <w:szCs w:val="20"/>
        </w:rPr>
      </w:pPr>
      <w:r w:rsidRPr="005554F7">
        <w:rPr>
          <w:rFonts w:ascii="Times New Roman" w:hAnsi="Times New Roman" w:cs="Times New Roman"/>
          <w:b/>
          <w:i/>
          <w:sz w:val="20"/>
          <w:szCs w:val="20"/>
        </w:rPr>
        <w:t>Setting the threshold to 0 prevents altogether the use of transmission diversity in the pool.</w:t>
      </w:r>
    </w:p>
    <w:p w14:paraId="201342E4" w14:textId="77777777" w:rsidR="00155CF9" w:rsidRPr="005554F7" w:rsidRDefault="00155CF9" w:rsidP="002153DD">
      <w:pPr>
        <w:spacing w:before="240"/>
        <w:rPr>
          <w:b/>
          <w:i/>
        </w:rPr>
      </w:pPr>
      <w:r w:rsidRPr="005554F7">
        <w:rPr>
          <w:b/>
          <w:i/>
        </w:rPr>
        <w:t>Proposal 5:</w:t>
      </w:r>
    </w:p>
    <w:p w14:paraId="3279D80E" w14:textId="2B48E5BC" w:rsidR="00155CF9" w:rsidRPr="009073CF" w:rsidRDefault="00155CF9" w:rsidP="009073CF">
      <w:pPr>
        <w:pStyle w:val="ListParagraph"/>
        <w:numPr>
          <w:ilvl w:val="0"/>
          <w:numId w:val="18"/>
        </w:numPr>
        <w:rPr>
          <w:b/>
          <w:i/>
          <w:sz w:val="20"/>
          <w:szCs w:val="20"/>
        </w:rPr>
      </w:pPr>
      <w:r w:rsidRPr="009073CF">
        <w:rPr>
          <w:rFonts w:ascii="Times New Roman" w:hAnsi="Times New Roman" w:cs="Times New Roman"/>
          <w:b/>
          <w:i/>
          <w:sz w:val="20"/>
          <w:szCs w:val="20"/>
        </w:rPr>
        <w:t>RSRP measurements on transmissions diversity are increased by 3 dB.</w:t>
      </w:r>
    </w:p>
    <w:p w14:paraId="5036C165" w14:textId="2175BC10" w:rsidR="00706C19" w:rsidRPr="009073CF" w:rsidRDefault="00706C19" w:rsidP="00706C19">
      <w:pPr>
        <w:pStyle w:val="Heading1"/>
      </w:pPr>
      <w:r w:rsidRPr="009073CF">
        <w:lastRenderedPageBreak/>
        <w:t>Reference</w:t>
      </w:r>
    </w:p>
    <w:p w14:paraId="25661003" w14:textId="1ACD4471" w:rsidR="0034705A" w:rsidRPr="00467871" w:rsidRDefault="006F1805" w:rsidP="00467871">
      <w:pPr>
        <w:pStyle w:val="ListParagraph"/>
        <w:numPr>
          <w:ilvl w:val="0"/>
          <w:numId w:val="7"/>
        </w:numPr>
        <w:ind w:left="567" w:hanging="425"/>
        <w:rPr>
          <w:rFonts w:ascii="Times New Roman" w:hAnsi="Times New Roman" w:cs="Times New Roman"/>
          <w:color w:val="312E25"/>
          <w:sz w:val="20"/>
          <w:szCs w:val="20"/>
          <w:lang w:eastAsia="sv-SE"/>
        </w:rPr>
      </w:pPr>
      <w:bookmarkStart w:id="9" w:name="_Ref477334356"/>
      <w:bookmarkStart w:id="10" w:name="_Ref494462036"/>
      <w:bookmarkStart w:id="11" w:name="_Ref462922309"/>
      <w:bookmarkStart w:id="12" w:name="_Ref450915949"/>
      <w:r>
        <w:rPr>
          <w:rFonts w:ascii="Times New Roman" w:hAnsi="Times New Roman" w:cs="Times New Roman"/>
          <w:color w:val="312E25"/>
          <w:sz w:val="20"/>
          <w:szCs w:val="20"/>
          <w:lang w:eastAsia="sv-SE"/>
        </w:rPr>
        <w:t>R</w:t>
      </w:r>
      <w:r w:rsidR="0034705A" w:rsidRPr="00467871">
        <w:rPr>
          <w:rFonts w:ascii="Times New Roman" w:hAnsi="Times New Roman" w:cs="Times New Roman"/>
          <w:color w:val="312E25"/>
          <w:sz w:val="20"/>
          <w:szCs w:val="20"/>
          <w:lang w:eastAsia="sv-SE"/>
        </w:rPr>
        <w:t>P-170798</w:t>
      </w:r>
      <w:r w:rsidR="0034705A" w:rsidRPr="00467871">
        <w:rPr>
          <w:rFonts w:ascii="Times New Roman" w:hAnsi="Times New Roman" w:cs="Times New Roman"/>
          <w:color w:val="312E25"/>
          <w:sz w:val="20"/>
          <w:szCs w:val="20"/>
          <w:lang w:eastAsia="sv-SE"/>
        </w:rPr>
        <w:tab/>
        <w:t>New WID on 3GPP V2X Phase 2</w:t>
      </w:r>
      <w:bookmarkEnd w:id="9"/>
      <w:bookmarkEnd w:id="10"/>
    </w:p>
    <w:p w14:paraId="532C46EC" w14:textId="349A21DA" w:rsidR="00236AB5" w:rsidRPr="005F7FDA" w:rsidRDefault="00236AB5" w:rsidP="00CC2D84">
      <w:pPr>
        <w:pStyle w:val="ListParagraph"/>
        <w:numPr>
          <w:ilvl w:val="0"/>
          <w:numId w:val="7"/>
        </w:numPr>
        <w:ind w:left="567" w:hanging="425"/>
        <w:rPr>
          <w:rFonts w:ascii="Times New Roman" w:hAnsi="Times New Roman" w:cs="Times New Roman"/>
          <w:color w:val="312E25"/>
          <w:sz w:val="20"/>
          <w:szCs w:val="20"/>
          <w:lang w:eastAsia="sv-SE"/>
        </w:rPr>
      </w:pPr>
      <w:bookmarkStart w:id="13" w:name="_Ref494461017"/>
      <w:r w:rsidRPr="005F7FDA">
        <w:rPr>
          <w:rFonts w:ascii="Times New Roman" w:hAnsi="Times New Roman" w:cs="Times New Roman"/>
          <w:color w:val="312E25"/>
          <w:sz w:val="20"/>
          <w:szCs w:val="20"/>
          <w:lang w:eastAsia="sv-SE"/>
        </w:rPr>
        <w:t xml:space="preserve">RAN1#89 </w:t>
      </w:r>
      <w:r w:rsidR="00E024DC">
        <w:rPr>
          <w:rFonts w:ascii="Times New Roman" w:hAnsi="Times New Roman" w:cs="Times New Roman"/>
          <w:color w:val="312E25"/>
          <w:sz w:val="20"/>
          <w:szCs w:val="20"/>
          <w:lang w:eastAsia="sv-SE"/>
        </w:rPr>
        <w:t>Chairman’s notes</w:t>
      </w:r>
      <w:bookmarkEnd w:id="13"/>
    </w:p>
    <w:p w14:paraId="52145C24" w14:textId="4F54FE6C" w:rsidR="00765B77" w:rsidRDefault="00937C1B" w:rsidP="00765B77">
      <w:pPr>
        <w:pStyle w:val="ListParagraph"/>
        <w:numPr>
          <w:ilvl w:val="0"/>
          <w:numId w:val="7"/>
        </w:numPr>
        <w:ind w:left="567" w:hanging="425"/>
        <w:rPr>
          <w:rFonts w:ascii="Times New Roman" w:hAnsi="Times New Roman" w:cs="Times New Roman"/>
          <w:color w:val="312E25"/>
          <w:sz w:val="20"/>
          <w:szCs w:val="20"/>
          <w:lang w:eastAsia="sv-SE"/>
        </w:rPr>
      </w:pPr>
      <w:bookmarkStart w:id="14" w:name="_Ref494461055"/>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90</w:t>
      </w:r>
      <w:r w:rsidRPr="004B1C86">
        <w:rPr>
          <w:rFonts w:ascii="Times New Roman" w:hAnsi="Times New Roman" w:cs="Times New Roman"/>
          <w:color w:val="312E25"/>
          <w:sz w:val="20"/>
          <w:szCs w:val="20"/>
          <w:lang w:eastAsia="sv-SE"/>
        </w:rPr>
        <w:t xml:space="preserve"> </w:t>
      </w:r>
      <w:r w:rsidR="00E024DC">
        <w:rPr>
          <w:rFonts w:ascii="Times New Roman" w:hAnsi="Times New Roman" w:cs="Times New Roman"/>
          <w:color w:val="312E25"/>
          <w:sz w:val="20"/>
          <w:szCs w:val="20"/>
          <w:lang w:eastAsia="sv-SE"/>
        </w:rPr>
        <w:t>Chairman’s notes</w:t>
      </w:r>
      <w:bookmarkStart w:id="15" w:name="_Ref494450096"/>
      <w:bookmarkStart w:id="16" w:name="_Ref494461076"/>
      <w:bookmarkEnd w:id="14"/>
    </w:p>
    <w:p w14:paraId="7B641FD4" w14:textId="0AB15153" w:rsidR="00342DA1" w:rsidRDefault="00342DA1" w:rsidP="00765B77">
      <w:pPr>
        <w:pStyle w:val="ListParagraph"/>
        <w:numPr>
          <w:ilvl w:val="0"/>
          <w:numId w:val="7"/>
        </w:numPr>
        <w:ind w:left="567" w:hanging="425"/>
        <w:rPr>
          <w:rFonts w:ascii="Times New Roman" w:hAnsi="Times New Roman" w:cs="Times New Roman"/>
          <w:color w:val="312E25"/>
          <w:sz w:val="20"/>
          <w:szCs w:val="20"/>
          <w:lang w:eastAsia="sv-SE"/>
        </w:rPr>
      </w:pPr>
      <w:bookmarkStart w:id="17" w:name="_Ref506365149"/>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90bis</w:t>
      </w:r>
      <w:r w:rsidRPr="004B1C8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Chairman’s notes</w:t>
      </w:r>
      <w:bookmarkEnd w:id="17"/>
    </w:p>
    <w:p w14:paraId="5F615DBA" w14:textId="701F1064" w:rsidR="00C97730" w:rsidRDefault="00C97730" w:rsidP="00C97730">
      <w:pPr>
        <w:pStyle w:val="ListParagraph"/>
        <w:numPr>
          <w:ilvl w:val="0"/>
          <w:numId w:val="7"/>
        </w:numPr>
        <w:ind w:left="567" w:hanging="425"/>
        <w:rPr>
          <w:rFonts w:ascii="Times New Roman" w:hAnsi="Times New Roman" w:cs="Times New Roman"/>
          <w:color w:val="312E25"/>
          <w:sz w:val="20"/>
          <w:szCs w:val="20"/>
          <w:lang w:eastAsia="sv-SE"/>
        </w:rPr>
      </w:pPr>
      <w:bookmarkStart w:id="18" w:name="_Ref506292582"/>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91</w:t>
      </w:r>
      <w:r w:rsidRPr="004B1C8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Chairman’s notes</w:t>
      </w:r>
      <w:bookmarkEnd w:id="18"/>
    </w:p>
    <w:p w14:paraId="72C4C572" w14:textId="5BDD29AF" w:rsidR="00C97730" w:rsidRPr="00A85EFB" w:rsidRDefault="00C97730" w:rsidP="00C97730">
      <w:pPr>
        <w:pStyle w:val="ListParagraph"/>
        <w:numPr>
          <w:ilvl w:val="0"/>
          <w:numId w:val="7"/>
        </w:numPr>
        <w:ind w:left="567" w:hanging="425"/>
        <w:rPr>
          <w:rFonts w:ascii="Times New Roman" w:hAnsi="Times New Roman" w:cs="Times New Roman"/>
          <w:color w:val="312E25"/>
          <w:sz w:val="20"/>
          <w:szCs w:val="20"/>
          <w:lang w:eastAsia="sv-SE"/>
        </w:rPr>
      </w:pPr>
      <w:bookmarkStart w:id="19" w:name="_Ref506292678"/>
      <w:r w:rsidRPr="00A85EFB">
        <w:rPr>
          <w:rFonts w:ascii="Times New Roman" w:hAnsi="Times New Roman" w:cs="Times New Roman"/>
          <w:color w:val="312E25"/>
          <w:sz w:val="20"/>
          <w:szCs w:val="20"/>
          <w:lang w:eastAsia="sv-SE"/>
        </w:rPr>
        <w:t>R1-1801310, “LS reply on transmit diversity impact on V2X PC5</w:t>
      </w:r>
      <w:r w:rsidR="00164BEA">
        <w:rPr>
          <w:rFonts w:ascii="Times New Roman" w:hAnsi="Times New Roman" w:cs="Times New Roman"/>
          <w:color w:val="312E25"/>
          <w:sz w:val="20"/>
          <w:szCs w:val="20"/>
          <w:lang w:eastAsia="sv-SE"/>
        </w:rPr>
        <w:t>,</w:t>
      </w:r>
      <w:r w:rsidRPr="00A85EFB">
        <w:rPr>
          <w:rFonts w:ascii="Times New Roman" w:hAnsi="Times New Roman" w:cs="Times New Roman"/>
          <w:color w:val="312E25"/>
          <w:sz w:val="20"/>
          <w:szCs w:val="20"/>
          <w:lang w:eastAsia="sv-SE"/>
        </w:rPr>
        <w:t>”</w:t>
      </w:r>
      <w:bookmarkEnd w:id="19"/>
      <w:r w:rsidR="00164BEA">
        <w:rPr>
          <w:rFonts w:ascii="Times New Roman" w:hAnsi="Times New Roman" w:cs="Times New Roman"/>
          <w:color w:val="312E25"/>
          <w:sz w:val="20"/>
          <w:szCs w:val="20"/>
          <w:lang w:eastAsia="sv-SE"/>
        </w:rPr>
        <w:t xml:space="preserve"> RAN4</w:t>
      </w:r>
    </w:p>
    <w:p w14:paraId="5C21ECBF" w14:textId="6CDA1282" w:rsidR="003314CC" w:rsidRPr="00C3081F" w:rsidRDefault="00A85EFB" w:rsidP="00C3081F">
      <w:pPr>
        <w:pStyle w:val="ListParagraph"/>
        <w:numPr>
          <w:ilvl w:val="0"/>
          <w:numId w:val="7"/>
        </w:numPr>
        <w:ind w:left="567" w:hanging="425"/>
        <w:rPr>
          <w:rFonts w:ascii="Times New Roman" w:hAnsi="Times New Roman" w:cs="Times New Roman"/>
          <w:color w:val="312E25"/>
          <w:sz w:val="20"/>
          <w:szCs w:val="20"/>
          <w:lang w:eastAsia="sv-SE"/>
        </w:rPr>
      </w:pPr>
      <w:bookmarkStart w:id="20" w:name="_Ref494462115"/>
      <w:r w:rsidRPr="00A85EFB">
        <w:rPr>
          <w:rFonts w:ascii="Times New Roman" w:hAnsi="Times New Roman" w:cs="Times New Roman"/>
          <w:color w:val="312E25"/>
          <w:sz w:val="20"/>
          <w:szCs w:val="20"/>
          <w:lang w:eastAsia="sv-SE"/>
        </w:rPr>
        <w:t>R1-1802521</w:t>
      </w:r>
      <w:r w:rsidR="004C542E" w:rsidRPr="00C3081F">
        <w:rPr>
          <w:rFonts w:ascii="Times New Roman" w:hAnsi="Times New Roman" w:cs="Times New Roman"/>
          <w:color w:val="312E25"/>
          <w:sz w:val="20"/>
          <w:szCs w:val="20"/>
          <w:lang w:eastAsia="sv-SE"/>
        </w:rPr>
        <w:t>, “</w:t>
      </w:r>
      <w:r w:rsidR="00777164" w:rsidRPr="00C3081F">
        <w:rPr>
          <w:rFonts w:ascii="Times New Roman" w:hAnsi="Times New Roman" w:cs="Times New Roman"/>
          <w:color w:val="312E25"/>
          <w:sz w:val="20"/>
          <w:szCs w:val="20"/>
          <w:lang w:eastAsia="sv-SE"/>
        </w:rPr>
        <w:t>DMRS design for two-port PSSCH transmission</w:t>
      </w:r>
      <w:r w:rsidR="004C542E" w:rsidRPr="00C3081F">
        <w:rPr>
          <w:rFonts w:ascii="Times New Roman" w:hAnsi="Times New Roman" w:cs="Times New Roman"/>
          <w:color w:val="312E25"/>
          <w:sz w:val="20"/>
          <w:szCs w:val="20"/>
          <w:lang w:eastAsia="sv-SE"/>
        </w:rPr>
        <w:t>”, Ericsson</w:t>
      </w:r>
      <w:bookmarkEnd w:id="15"/>
      <w:bookmarkEnd w:id="16"/>
      <w:bookmarkEnd w:id="20"/>
    </w:p>
    <w:p w14:paraId="1C8444F7" w14:textId="077FB488" w:rsidR="003314CC" w:rsidRPr="00A85EFB" w:rsidRDefault="00A85EFB" w:rsidP="00C3081F">
      <w:pPr>
        <w:pStyle w:val="ListParagraph"/>
        <w:numPr>
          <w:ilvl w:val="0"/>
          <w:numId w:val="7"/>
        </w:numPr>
        <w:ind w:left="567" w:hanging="425"/>
        <w:rPr>
          <w:rFonts w:ascii="Times New Roman" w:hAnsi="Times New Roman" w:cs="Times New Roman"/>
          <w:color w:val="312E25"/>
          <w:sz w:val="20"/>
          <w:szCs w:val="20"/>
          <w:lang w:eastAsia="sv-SE"/>
        </w:rPr>
      </w:pPr>
      <w:bookmarkStart w:id="21" w:name="_Ref494461137"/>
      <w:r w:rsidRPr="00A85EFB">
        <w:rPr>
          <w:rFonts w:ascii="Times New Roman" w:hAnsi="Times New Roman" w:cs="Times New Roman"/>
          <w:color w:val="312E25"/>
          <w:sz w:val="20"/>
          <w:szCs w:val="20"/>
          <w:lang w:eastAsia="sv-SE"/>
        </w:rPr>
        <w:t>R1-1802520</w:t>
      </w:r>
      <w:r w:rsidR="00AB1D66" w:rsidRPr="00A85EFB">
        <w:rPr>
          <w:rFonts w:ascii="Times New Roman" w:hAnsi="Times New Roman" w:cs="Times New Roman"/>
          <w:color w:val="312E25"/>
          <w:sz w:val="20"/>
          <w:szCs w:val="20"/>
          <w:lang w:eastAsia="sv-SE"/>
        </w:rPr>
        <w:t xml:space="preserve"> “</w:t>
      </w:r>
      <w:r w:rsidR="00B06104" w:rsidRPr="00A85EFB">
        <w:rPr>
          <w:rFonts w:ascii="Times New Roman" w:hAnsi="Times New Roman" w:cs="Times New Roman"/>
          <w:color w:val="312E25"/>
          <w:sz w:val="20"/>
          <w:szCs w:val="20"/>
          <w:lang w:eastAsia="sv-SE"/>
        </w:rPr>
        <w:t>Evaluation of transmit diversity for V2X</w:t>
      </w:r>
      <w:r w:rsidR="00AB1D66" w:rsidRPr="00A85EFB">
        <w:rPr>
          <w:rFonts w:ascii="Times New Roman" w:hAnsi="Times New Roman" w:cs="Times New Roman"/>
          <w:color w:val="312E25"/>
          <w:sz w:val="20"/>
          <w:szCs w:val="20"/>
          <w:lang w:eastAsia="sv-SE"/>
        </w:rPr>
        <w:t>,” Ericsson</w:t>
      </w:r>
      <w:bookmarkEnd w:id="21"/>
    </w:p>
    <w:p w14:paraId="26F8FF9F" w14:textId="7505240B" w:rsidR="005D6DDB" w:rsidRPr="00937C1B" w:rsidRDefault="00937C1B">
      <w:pPr>
        <w:pStyle w:val="ListParagraph"/>
        <w:numPr>
          <w:ilvl w:val="0"/>
          <w:numId w:val="7"/>
        </w:numPr>
        <w:ind w:left="567" w:hanging="425"/>
        <w:rPr>
          <w:rFonts w:ascii="Times New Roman" w:hAnsi="Times New Roman" w:cs="Times New Roman"/>
          <w:color w:val="312E25"/>
          <w:sz w:val="20"/>
          <w:szCs w:val="20"/>
          <w:lang w:eastAsia="sv-SE"/>
        </w:rPr>
      </w:pPr>
      <w:bookmarkStart w:id="22" w:name="_Ref494114460"/>
      <w:bookmarkStart w:id="23" w:name="_Ref489633106"/>
      <w:r>
        <w:rPr>
          <w:rFonts w:ascii="Times New Roman" w:hAnsi="Times New Roman" w:cs="Times New Roman"/>
          <w:color w:val="312E25"/>
          <w:sz w:val="20"/>
          <w:szCs w:val="20"/>
          <w:lang w:eastAsia="sv-SE"/>
        </w:rPr>
        <w:t xml:space="preserve">Cohda Wireless, MK5 V2X On Board Unit, available on: </w:t>
      </w:r>
      <w:hyperlink r:id="rId9" w:history="1">
        <w:r w:rsidRPr="003869FB">
          <w:rPr>
            <w:rStyle w:val="Hyperlink"/>
            <w:rFonts w:ascii="Times New Roman" w:hAnsi="Times New Roman" w:cs="Times New Roman"/>
            <w:sz w:val="20"/>
            <w:szCs w:val="20"/>
            <w:lang w:eastAsia="sv-SE"/>
          </w:rPr>
          <w:t>http://cohdawireless.com/Portals/0/MK5_OBU_10122015.pdf</w:t>
        </w:r>
      </w:hyperlink>
      <w:r>
        <w:rPr>
          <w:rFonts w:ascii="Times New Roman" w:hAnsi="Times New Roman" w:cs="Times New Roman"/>
          <w:color w:val="312E25"/>
          <w:sz w:val="20"/>
          <w:szCs w:val="20"/>
          <w:lang w:eastAsia="sv-SE"/>
        </w:rPr>
        <w:t xml:space="preserve"> [last accessed 25/9/2017]</w:t>
      </w:r>
      <w:bookmarkEnd w:id="22"/>
      <w:r w:rsidR="00056B84" w:rsidRPr="00937C1B" w:rsidDel="00056B84">
        <w:rPr>
          <w:color w:val="312E25"/>
          <w:lang w:eastAsia="sv-SE"/>
        </w:rPr>
        <w:t xml:space="preserve"> </w:t>
      </w:r>
    </w:p>
    <w:p w14:paraId="2A005839" w14:textId="51AA03FA" w:rsidR="00420D28" w:rsidRPr="00420D28" w:rsidRDefault="005D6DDB" w:rsidP="00C3081F">
      <w:pPr>
        <w:pStyle w:val="ListParagraph"/>
        <w:numPr>
          <w:ilvl w:val="0"/>
          <w:numId w:val="7"/>
        </w:numPr>
        <w:ind w:left="567" w:hanging="425"/>
      </w:pPr>
      <w:bookmarkStart w:id="24" w:name="_Ref494461192"/>
      <w:r w:rsidRPr="00C3081F">
        <w:rPr>
          <w:color w:val="312E25"/>
          <w:lang w:eastAsia="sv-SE"/>
        </w:rPr>
        <w:t>R2-1803523</w:t>
      </w:r>
      <w:r w:rsidR="00164BEA" w:rsidRPr="00C3081F">
        <w:rPr>
          <w:color w:val="312E25"/>
          <w:lang w:eastAsia="sv-SE"/>
        </w:rPr>
        <w:t>, “On the Support of 64QAM and TX diversity,” Ericsson</w:t>
      </w:r>
      <w:bookmarkEnd w:id="11"/>
      <w:bookmarkEnd w:id="12"/>
      <w:bookmarkEnd w:id="23"/>
      <w:bookmarkEnd w:id="24"/>
    </w:p>
    <w:sectPr w:rsidR="00420D28" w:rsidRPr="00420D28" w:rsidSect="005E5F67">
      <w:footnotePr>
        <w:numRestart w:val="eachSect"/>
      </w:footnotePr>
      <w:pgSz w:w="11907" w:h="16840" w:code="9"/>
      <w:pgMar w:top="851" w:right="567"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2C0E0" w14:textId="77777777" w:rsidR="005E45A8" w:rsidRDefault="005E45A8">
      <w:r>
        <w:separator/>
      </w:r>
    </w:p>
  </w:endnote>
  <w:endnote w:type="continuationSeparator" w:id="0">
    <w:p w14:paraId="535ABD23" w14:textId="77777777" w:rsidR="005E45A8" w:rsidRDefault="005E45A8">
      <w:r>
        <w:continuationSeparator/>
      </w:r>
    </w:p>
  </w:endnote>
  <w:endnote w:type="continuationNotice" w:id="1">
    <w:p w14:paraId="1328F4F8" w14:textId="77777777" w:rsidR="005E45A8" w:rsidRDefault="005E4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97C6B" w14:textId="77777777" w:rsidR="005E45A8" w:rsidRDefault="005E45A8">
      <w:r>
        <w:separator/>
      </w:r>
    </w:p>
  </w:footnote>
  <w:footnote w:type="continuationSeparator" w:id="0">
    <w:p w14:paraId="110F8F08" w14:textId="77777777" w:rsidR="005E45A8" w:rsidRDefault="005E45A8">
      <w:r>
        <w:continuationSeparator/>
      </w:r>
    </w:p>
  </w:footnote>
  <w:footnote w:type="continuationNotice" w:id="1">
    <w:p w14:paraId="15FBC966" w14:textId="77777777" w:rsidR="005E45A8" w:rsidRDefault="005E45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 w15:restartNumberingAfterBreak="0">
    <w:nsid w:val="164E6983"/>
    <w:multiLevelType w:val="hybridMultilevel"/>
    <w:tmpl w:val="078E37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33AF6EBB"/>
    <w:multiLevelType w:val="hybridMultilevel"/>
    <w:tmpl w:val="87D8D8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3D09BA"/>
    <w:multiLevelType w:val="hybridMultilevel"/>
    <w:tmpl w:val="91FAB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3C24F0D"/>
    <w:multiLevelType w:val="hybridMultilevel"/>
    <w:tmpl w:val="821856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0C20D17"/>
    <w:multiLevelType w:val="hybridMultilevel"/>
    <w:tmpl w:val="CDE45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78C071D"/>
    <w:multiLevelType w:val="hybridMultilevel"/>
    <w:tmpl w:val="1FBC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2"/>
  </w:num>
  <w:num w:numId="3">
    <w:abstractNumId w:val="20"/>
  </w:num>
  <w:num w:numId="4">
    <w:abstractNumId w:val="9"/>
  </w:num>
  <w:num w:numId="5">
    <w:abstractNumId w:val="13"/>
  </w:num>
  <w:num w:numId="6">
    <w:abstractNumId w:val="23"/>
  </w:num>
  <w:num w:numId="7">
    <w:abstractNumId w:val="8"/>
  </w:num>
  <w:num w:numId="8">
    <w:abstractNumId w:val="19"/>
  </w:num>
  <w:num w:numId="9">
    <w:abstractNumId w:val="6"/>
  </w:num>
  <w:num w:numId="10">
    <w:abstractNumId w:val="12"/>
  </w:num>
  <w:num w:numId="11">
    <w:abstractNumId w:val="1"/>
  </w:num>
  <w:num w:numId="12">
    <w:abstractNumId w:val="14"/>
  </w:num>
  <w:num w:numId="13">
    <w:abstractNumId w:val="11"/>
  </w:num>
  <w:num w:numId="14">
    <w:abstractNumId w:val="17"/>
  </w:num>
  <w:num w:numId="15">
    <w:abstractNumId w:val="10"/>
  </w:num>
  <w:num w:numId="16">
    <w:abstractNumId w:val="16"/>
  </w:num>
  <w:num w:numId="17">
    <w:abstractNumId w:val="7"/>
  </w:num>
  <w:num w:numId="18">
    <w:abstractNumId w:val="5"/>
  </w:num>
  <w:num w:numId="19">
    <w:abstractNumId w:val="21"/>
  </w:num>
  <w:num w:numId="20">
    <w:abstractNumId w:val="4"/>
  </w:num>
  <w:num w:numId="21">
    <w:abstractNumId w:val="18"/>
  </w:num>
  <w:num w:numId="22">
    <w:abstractNumId w:val="3"/>
  </w:num>
  <w:num w:numId="2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DD"/>
    <w:rsid w:val="0000045A"/>
    <w:rsid w:val="0000095A"/>
    <w:rsid w:val="00001096"/>
    <w:rsid w:val="000017AB"/>
    <w:rsid w:val="0000188D"/>
    <w:rsid w:val="00001B66"/>
    <w:rsid w:val="00001CE5"/>
    <w:rsid w:val="0000223E"/>
    <w:rsid w:val="0000258B"/>
    <w:rsid w:val="000025DC"/>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0DE"/>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33A"/>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B04"/>
    <w:rsid w:val="00031BCF"/>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8EE"/>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BDE"/>
    <w:rsid w:val="00041D31"/>
    <w:rsid w:val="000420B4"/>
    <w:rsid w:val="000425BC"/>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3DA"/>
    <w:rsid w:val="000544E2"/>
    <w:rsid w:val="00054511"/>
    <w:rsid w:val="00054580"/>
    <w:rsid w:val="000548CD"/>
    <w:rsid w:val="0005497B"/>
    <w:rsid w:val="00054A5F"/>
    <w:rsid w:val="00054BAA"/>
    <w:rsid w:val="00054D3E"/>
    <w:rsid w:val="00054FE0"/>
    <w:rsid w:val="0005590A"/>
    <w:rsid w:val="00055C90"/>
    <w:rsid w:val="00056365"/>
    <w:rsid w:val="0005697B"/>
    <w:rsid w:val="00056B84"/>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4A4"/>
    <w:rsid w:val="00071DAF"/>
    <w:rsid w:val="00071DD8"/>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3755"/>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176"/>
    <w:rsid w:val="000A44CD"/>
    <w:rsid w:val="000A47FC"/>
    <w:rsid w:val="000A4FB2"/>
    <w:rsid w:val="000A5435"/>
    <w:rsid w:val="000A5821"/>
    <w:rsid w:val="000A5885"/>
    <w:rsid w:val="000A5918"/>
    <w:rsid w:val="000A6D7D"/>
    <w:rsid w:val="000A7522"/>
    <w:rsid w:val="000A7B48"/>
    <w:rsid w:val="000A7C96"/>
    <w:rsid w:val="000A7E46"/>
    <w:rsid w:val="000A7F51"/>
    <w:rsid w:val="000B0049"/>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77"/>
    <w:rsid w:val="000C218C"/>
    <w:rsid w:val="000C338A"/>
    <w:rsid w:val="000C3C80"/>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711"/>
    <w:rsid w:val="000D0DAE"/>
    <w:rsid w:val="000D1186"/>
    <w:rsid w:val="000D1247"/>
    <w:rsid w:val="000D1988"/>
    <w:rsid w:val="000D198A"/>
    <w:rsid w:val="000D28F6"/>
    <w:rsid w:val="000D297C"/>
    <w:rsid w:val="000D2B76"/>
    <w:rsid w:val="000D2BFF"/>
    <w:rsid w:val="000D3124"/>
    <w:rsid w:val="000D357B"/>
    <w:rsid w:val="000D35DC"/>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30E0"/>
    <w:rsid w:val="000E31D9"/>
    <w:rsid w:val="000E38E6"/>
    <w:rsid w:val="000E3EAC"/>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258"/>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673"/>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47A"/>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62"/>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0C71"/>
    <w:rsid w:val="001310D3"/>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5CF9"/>
    <w:rsid w:val="0015623A"/>
    <w:rsid w:val="00156973"/>
    <w:rsid w:val="0015709F"/>
    <w:rsid w:val="001572C2"/>
    <w:rsid w:val="001573EE"/>
    <w:rsid w:val="00157C7F"/>
    <w:rsid w:val="00157FA1"/>
    <w:rsid w:val="00160577"/>
    <w:rsid w:val="001605B6"/>
    <w:rsid w:val="00160638"/>
    <w:rsid w:val="00160B11"/>
    <w:rsid w:val="00160D12"/>
    <w:rsid w:val="00161D9B"/>
    <w:rsid w:val="00161EE8"/>
    <w:rsid w:val="00161F67"/>
    <w:rsid w:val="00162BA6"/>
    <w:rsid w:val="00162E11"/>
    <w:rsid w:val="0016390A"/>
    <w:rsid w:val="0016399F"/>
    <w:rsid w:val="00163BD1"/>
    <w:rsid w:val="001646AC"/>
    <w:rsid w:val="001648F4"/>
    <w:rsid w:val="00164BEA"/>
    <w:rsid w:val="00164C20"/>
    <w:rsid w:val="00164DDB"/>
    <w:rsid w:val="00164FE3"/>
    <w:rsid w:val="0016528A"/>
    <w:rsid w:val="001654AE"/>
    <w:rsid w:val="00165B88"/>
    <w:rsid w:val="0016641D"/>
    <w:rsid w:val="00166570"/>
    <w:rsid w:val="001665A4"/>
    <w:rsid w:val="00166A54"/>
    <w:rsid w:val="00166B6D"/>
    <w:rsid w:val="00167418"/>
    <w:rsid w:val="00167926"/>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5EA"/>
    <w:rsid w:val="001756F5"/>
    <w:rsid w:val="0017575D"/>
    <w:rsid w:val="00175836"/>
    <w:rsid w:val="00175A17"/>
    <w:rsid w:val="00175B93"/>
    <w:rsid w:val="001760D7"/>
    <w:rsid w:val="00176275"/>
    <w:rsid w:val="0017647C"/>
    <w:rsid w:val="0017652D"/>
    <w:rsid w:val="001776B3"/>
    <w:rsid w:val="0017790F"/>
    <w:rsid w:val="00177E47"/>
    <w:rsid w:val="00177EEA"/>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6C"/>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4F8"/>
    <w:rsid w:val="001B3745"/>
    <w:rsid w:val="001B3E5A"/>
    <w:rsid w:val="001B3F05"/>
    <w:rsid w:val="001B45E2"/>
    <w:rsid w:val="001B4822"/>
    <w:rsid w:val="001B4ED5"/>
    <w:rsid w:val="001B4FB6"/>
    <w:rsid w:val="001B53F8"/>
    <w:rsid w:val="001B5591"/>
    <w:rsid w:val="001B6316"/>
    <w:rsid w:val="001B6851"/>
    <w:rsid w:val="001B6BA3"/>
    <w:rsid w:val="001B7361"/>
    <w:rsid w:val="001B79FE"/>
    <w:rsid w:val="001C00BE"/>
    <w:rsid w:val="001C0701"/>
    <w:rsid w:val="001C0C09"/>
    <w:rsid w:val="001C0C8E"/>
    <w:rsid w:val="001C0D3B"/>
    <w:rsid w:val="001C0FB2"/>
    <w:rsid w:val="001C1540"/>
    <w:rsid w:val="001C17BF"/>
    <w:rsid w:val="001C180C"/>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135"/>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5A7"/>
    <w:rsid w:val="001E3105"/>
    <w:rsid w:val="001E396A"/>
    <w:rsid w:val="001E3C3F"/>
    <w:rsid w:val="001E3CFC"/>
    <w:rsid w:val="001E3FE4"/>
    <w:rsid w:val="001E41F3"/>
    <w:rsid w:val="001E4CB9"/>
    <w:rsid w:val="001E4CEC"/>
    <w:rsid w:val="001E5017"/>
    <w:rsid w:val="001E5142"/>
    <w:rsid w:val="001E55BC"/>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1F7DE4"/>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4FF0"/>
    <w:rsid w:val="0021506C"/>
    <w:rsid w:val="002153DD"/>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B27"/>
    <w:rsid w:val="00223DC9"/>
    <w:rsid w:val="0022490A"/>
    <w:rsid w:val="00224A52"/>
    <w:rsid w:val="00225010"/>
    <w:rsid w:val="00225037"/>
    <w:rsid w:val="00225128"/>
    <w:rsid w:val="0022547F"/>
    <w:rsid w:val="002254ED"/>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B5"/>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A6B"/>
    <w:rsid w:val="00243F53"/>
    <w:rsid w:val="00244414"/>
    <w:rsid w:val="00244531"/>
    <w:rsid w:val="00244A05"/>
    <w:rsid w:val="00244C23"/>
    <w:rsid w:val="00244F34"/>
    <w:rsid w:val="00245391"/>
    <w:rsid w:val="002454E1"/>
    <w:rsid w:val="002458FB"/>
    <w:rsid w:val="00245FF6"/>
    <w:rsid w:val="00246597"/>
    <w:rsid w:val="00246C16"/>
    <w:rsid w:val="0024784E"/>
    <w:rsid w:val="002501D9"/>
    <w:rsid w:val="00250580"/>
    <w:rsid w:val="002505A7"/>
    <w:rsid w:val="002509C7"/>
    <w:rsid w:val="002512C1"/>
    <w:rsid w:val="00251772"/>
    <w:rsid w:val="002518D7"/>
    <w:rsid w:val="00252076"/>
    <w:rsid w:val="00252095"/>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8D3"/>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2E9A"/>
    <w:rsid w:val="002733EB"/>
    <w:rsid w:val="002737E5"/>
    <w:rsid w:val="00273A18"/>
    <w:rsid w:val="00273A94"/>
    <w:rsid w:val="00273A99"/>
    <w:rsid w:val="00273C90"/>
    <w:rsid w:val="00274B40"/>
    <w:rsid w:val="002757C9"/>
    <w:rsid w:val="00275A0D"/>
    <w:rsid w:val="00275D12"/>
    <w:rsid w:val="002762F3"/>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792"/>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48C"/>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D8A"/>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5C4"/>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B2"/>
    <w:rsid w:val="002C69E6"/>
    <w:rsid w:val="002C6AFB"/>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0F4"/>
    <w:rsid w:val="002E1239"/>
    <w:rsid w:val="002E154B"/>
    <w:rsid w:val="002E15B2"/>
    <w:rsid w:val="002E1647"/>
    <w:rsid w:val="002E1F7C"/>
    <w:rsid w:val="002E26C4"/>
    <w:rsid w:val="002E26C6"/>
    <w:rsid w:val="002E2BD6"/>
    <w:rsid w:val="002E30C3"/>
    <w:rsid w:val="002E31DF"/>
    <w:rsid w:val="002E32B2"/>
    <w:rsid w:val="002E3870"/>
    <w:rsid w:val="002E3BA5"/>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660"/>
    <w:rsid w:val="003019B0"/>
    <w:rsid w:val="00302054"/>
    <w:rsid w:val="00302652"/>
    <w:rsid w:val="00302656"/>
    <w:rsid w:val="00302919"/>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6C"/>
    <w:rsid w:val="003072F8"/>
    <w:rsid w:val="00307F33"/>
    <w:rsid w:val="003101C8"/>
    <w:rsid w:val="0031057A"/>
    <w:rsid w:val="00310BEA"/>
    <w:rsid w:val="00310E07"/>
    <w:rsid w:val="0031113A"/>
    <w:rsid w:val="00311B9B"/>
    <w:rsid w:val="00311F49"/>
    <w:rsid w:val="00311FB2"/>
    <w:rsid w:val="00312175"/>
    <w:rsid w:val="0031247A"/>
    <w:rsid w:val="00312F7A"/>
    <w:rsid w:val="00312FC2"/>
    <w:rsid w:val="00313025"/>
    <w:rsid w:val="0031351B"/>
    <w:rsid w:val="0031357A"/>
    <w:rsid w:val="00313778"/>
    <w:rsid w:val="00313D07"/>
    <w:rsid w:val="00313D17"/>
    <w:rsid w:val="00313F4D"/>
    <w:rsid w:val="00314048"/>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C81"/>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4CC"/>
    <w:rsid w:val="0033175A"/>
    <w:rsid w:val="0033186E"/>
    <w:rsid w:val="00331945"/>
    <w:rsid w:val="00331C3E"/>
    <w:rsid w:val="003321F5"/>
    <w:rsid w:val="00332753"/>
    <w:rsid w:val="003329AB"/>
    <w:rsid w:val="00332CC3"/>
    <w:rsid w:val="00332D9C"/>
    <w:rsid w:val="00332F8E"/>
    <w:rsid w:val="0033304D"/>
    <w:rsid w:val="00333302"/>
    <w:rsid w:val="00333556"/>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DA1"/>
    <w:rsid w:val="00342F5B"/>
    <w:rsid w:val="00342FE7"/>
    <w:rsid w:val="00343C5E"/>
    <w:rsid w:val="00344383"/>
    <w:rsid w:val="003443AA"/>
    <w:rsid w:val="003448B5"/>
    <w:rsid w:val="0034576D"/>
    <w:rsid w:val="0034620C"/>
    <w:rsid w:val="00346218"/>
    <w:rsid w:val="00346A51"/>
    <w:rsid w:val="00346DE9"/>
    <w:rsid w:val="0034705A"/>
    <w:rsid w:val="003473BE"/>
    <w:rsid w:val="00347456"/>
    <w:rsid w:val="003476A1"/>
    <w:rsid w:val="0035060D"/>
    <w:rsid w:val="00350718"/>
    <w:rsid w:val="00350901"/>
    <w:rsid w:val="00350969"/>
    <w:rsid w:val="00350B22"/>
    <w:rsid w:val="00350EBC"/>
    <w:rsid w:val="003515AC"/>
    <w:rsid w:val="00351B25"/>
    <w:rsid w:val="00351E64"/>
    <w:rsid w:val="003520AA"/>
    <w:rsid w:val="003521EF"/>
    <w:rsid w:val="003525E2"/>
    <w:rsid w:val="00352ACD"/>
    <w:rsid w:val="0035333D"/>
    <w:rsid w:val="00353360"/>
    <w:rsid w:val="00353603"/>
    <w:rsid w:val="0035372A"/>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78B"/>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5DE4"/>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469"/>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4A"/>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1F99"/>
    <w:rsid w:val="003820B1"/>
    <w:rsid w:val="00382B4F"/>
    <w:rsid w:val="00382FBA"/>
    <w:rsid w:val="00383742"/>
    <w:rsid w:val="0038404A"/>
    <w:rsid w:val="0038409C"/>
    <w:rsid w:val="0038420A"/>
    <w:rsid w:val="0038443A"/>
    <w:rsid w:val="003847C1"/>
    <w:rsid w:val="003862BE"/>
    <w:rsid w:val="0038647B"/>
    <w:rsid w:val="00386561"/>
    <w:rsid w:val="00386DF8"/>
    <w:rsid w:val="003872EB"/>
    <w:rsid w:val="00387986"/>
    <w:rsid w:val="00387C98"/>
    <w:rsid w:val="003906D3"/>
    <w:rsid w:val="00390FB3"/>
    <w:rsid w:val="00391048"/>
    <w:rsid w:val="00391089"/>
    <w:rsid w:val="003917E7"/>
    <w:rsid w:val="00391F1F"/>
    <w:rsid w:val="0039224D"/>
    <w:rsid w:val="0039244A"/>
    <w:rsid w:val="003924EB"/>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2E8"/>
    <w:rsid w:val="003A75F6"/>
    <w:rsid w:val="003A7648"/>
    <w:rsid w:val="003A7674"/>
    <w:rsid w:val="003A76D0"/>
    <w:rsid w:val="003A7956"/>
    <w:rsid w:val="003A7C03"/>
    <w:rsid w:val="003A7EC6"/>
    <w:rsid w:val="003A7F30"/>
    <w:rsid w:val="003B0C31"/>
    <w:rsid w:val="003B0E78"/>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3F00"/>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CBF"/>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501"/>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2E0"/>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2B68"/>
    <w:rsid w:val="0041339C"/>
    <w:rsid w:val="00413ACE"/>
    <w:rsid w:val="00413AFA"/>
    <w:rsid w:val="00413C02"/>
    <w:rsid w:val="00414474"/>
    <w:rsid w:val="00414D1E"/>
    <w:rsid w:val="00414DEB"/>
    <w:rsid w:val="00415CA3"/>
    <w:rsid w:val="00415CC5"/>
    <w:rsid w:val="0041619F"/>
    <w:rsid w:val="00416279"/>
    <w:rsid w:val="004166B3"/>
    <w:rsid w:val="00416BEA"/>
    <w:rsid w:val="00416E52"/>
    <w:rsid w:val="00417013"/>
    <w:rsid w:val="004170FF"/>
    <w:rsid w:val="00417212"/>
    <w:rsid w:val="00417743"/>
    <w:rsid w:val="004177BF"/>
    <w:rsid w:val="00417902"/>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5BDF"/>
    <w:rsid w:val="00426899"/>
    <w:rsid w:val="00426C90"/>
    <w:rsid w:val="00427C5E"/>
    <w:rsid w:val="00427F99"/>
    <w:rsid w:val="0043021A"/>
    <w:rsid w:val="0043093F"/>
    <w:rsid w:val="00430DE8"/>
    <w:rsid w:val="004310C0"/>
    <w:rsid w:val="004310C2"/>
    <w:rsid w:val="00432429"/>
    <w:rsid w:val="0043259F"/>
    <w:rsid w:val="0043272F"/>
    <w:rsid w:val="0043278C"/>
    <w:rsid w:val="00432792"/>
    <w:rsid w:val="00432AFF"/>
    <w:rsid w:val="00432DFD"/>
    <w:rsid w:val="00433165"/>
    <w:rsid w:val="004333D9"/>
    <w:rsid w:val="004334FB"/>
    <w:rsid w:val="00433568"/>
    <w:rsid w:val="00433591"/>
    <w:rsid w:val="00433CA5"/>
    <w:rsid w:val="00433CC4"/>
    <w:rsid w:val="004340F9"/>
    <w:rsid w:val="00434277"/>
    <w:rsid w:val="00434A44"/>
    <w:rsid w:val="00434B38"/>
    <w:rsid w:val="00434EC9"/>
    <w:rsid w:val="00434F69"/>
    <w:rsid w:val="004350AB"/>
    <w:rsid w:val="004352C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3EA0"/>
    <w:rsid w:val="00444897"/>
    <w:rsid w:val="00444C8A"/>
    <w:rsid w:val="00444DC0"/>
    <w:rsid w:val="00445765"/>
    <w:rsid w:val="004459F4"/>
    <w:rsid w:val="004461B8"/>
    <w:rsid w:val="004468D0"/>
    <w:rsid w:val="004470EE"/>
    <w:rsid w:val="00447514"/>
    <w:rsid w:val="0044788F"/>
    <w:rsid w:val="00447BA9"/>
    <w:rsid w:val="00447C6A"/>
    <w:rsid w:val="00447F68"/>
    <w:rsid w:val="004500A5"/>
    <w:rsid w:val="00450165"/>
    <w:rsid w:val="00450688"/>
    <w:rsid w:val="00450B30"/>
    <w:rsid w:val="00450D38"/>
    <w:rsid w:val="00450D7B"/>
    <w:rsid w:val="0045141B"/>
    <w:rsid w:val="00451532"/>
    <w:rsid w:val="00451553"/>
    <w:rsid w:val="004515C8"/>
    <w:rsid w:val="00451736"/>
    <w:rsid w:val="004518F6"/>
    <w:rsid w:val="00451915"/>
    <w:rsid w:val="00451BBC"/>
    <w:rsid w:val="00451E00"/>
    <w:rsid w:val="00452849"/>
    <w:rsid w:val="00452C38"/>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871"/>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81"/>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39D"/>
    <w:rsid w:val="004873EB"/>
    <w:rsid w:val="00487591"/>
    <w:rsid w:val="00487948"/>
    <w:rsid w:val="00487BA4"/>
    <w:rsid w:val="00487C8A"/>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2DD9"/>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529"/>
    <w:rsid w:val="004B6644"/>
    <w:rsid w:val="004B666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76C"/>
    <w:rsid w:val="004C3809"/>
    <w:rsid w:val="004C38EB"/>
    <w:rsid w:val="004C3E54"/>
    <w:rsid w:val="004C3EB9"/>
    <w:rsid w:val="004C40ED"/>
    <w:rsid w:val="004C447F"/>
    <w:rsid w:val="004C450A"/>
    <w:rsid w:val="004C4675"/>
    <w:rsid w:val="004C519D"/>
    <w:rsid w:val="004C52E0"/>
    <w:rsid w:val="004C542E"/>
    <w:rsid w:val="004C5566"/>
    <w:rsid w:val="004C564A"/>
    <w:rsid w:val="004C6172"/>
    <w:rsid w:val="004C6286"/>
    <w:rsid w:val="004C6AC9"/>
    <w:rsid w:val="004C6C7B"/>
    <w:rsid w:val="004C6CD8"/>
    <w:rsid w:val="004C7062"/>
    <w:rsid w:val="004C75E3"/>
    <w:rsid w:val="004C7766"/>
    <w:rsid w:val="004C789E"/>
    <w:rsid w:val="004C78A5"/>
    <w:rsid w:val="004D0005"/>
    <w:rsid w:val="004D0292"/>
    <w:rsid w:val="004D0837"/>
    <w:rsid w:val="004D08FA"/>
    <w:rsid w:val="004D092A"/>
    <w:rsid w:val="004D0DC4"/>
    <w:rsid w:val="004D1590"/>
    <w:rsid w:val="004D1858"/>
    <w:rsid w:val="004D1A44"/>
    <w:rsid w:val="004D1D71"/>
    <w:rsid w:val="004D28A4"/>
    <w:rsid w:val="004D2D11"/>
    <w:rsid w:val="004D2DBA"/>
    <w:rsid w:val="004D2FD0"/>
    <w:rsid w:val="004D3639"/>
    <w:rsid w:val="004D3AD7"/>
    <w:rsid w:val="004D3AE4"/>
    <w:rsid w:val="004D3FC6"/>
    <w:rsid w:val="004D4354"/>
    <w:rsid w:val="004D4A67"/>
    <w:rsid w:val="004D4D0A"/>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24"/>
    <w:rsid w:val="004F5747"/>
    <w:rsid w:val="004F5E3C"/>
    <w:rsid w:val="004F5E4A"/>
    <w:rsid w:val="004F6116"/>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7A1"/>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7EE"/>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37911"/>
    <w:rsid w:val="00540018"/>
    <w:rsid w:val="005401A9"/>
    <w:rsid w:val="00540DF1"/>
    <w:rsid w:val="005413FD"/>
    <w:rsid w:val="0054177C"/>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7E2"/>
    <w:rsid w:val="00552035"/>
    <w:rsid w:val="00552054"/>
    <w:rsid w:val="00552295"/>
    <w:rsid w:val="0055243D"/>
    <w:rsid w:val="005525E0"/>
    <w:rsid w:val="00552D1E"/>
    <w:rsid w:val="00552D90"/>
    <w:rsid w:val="00552EF8"/>
    <w:rsid w:val="00552FBA"/>
    <w:rsid w:val="0055320C"/>
    <w:rsid w:val="00553326"/>
    <w:rsid w:val="00553E20"/>
    <w:rsid w:val="005549FD"/>
    <w:rsid w:val="0055546C"/>
    <w:rsid w:val="005554F7"/>
    <w:rsid w:val="00555CD1"/>
    <w:rsid w:val="00555D66"/>
    <w:rsid w:val="005561FF"/>
    <w:rsid w:val="00556325"/>
    <w:rsid w:val="005568F0"/>
    <w:rsid w:val="00557715"/>
    <w:rsid w:val="0056070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065"/>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0D"/>
    <w:rsid w:val="0058354A"/>
    <w:rsid w:val="0058368D"/>
    <w:rsid w:val="005837AD"/>
    <w:rsid w:val="00583BE9"/>
    <w:rsid w:val="00583C20"/>
    <w:rsid w:val="00583CAF"/>
    <w:rsid w:val="0058402C"/>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BB3"/>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244"/>
    <w:rsid w:val="005B298C"/>
    <w:rsid w:val="005B2B64"/>
    <w:rsid w:val="005B2FA6"/>
    <w:rsid w:val="005B3076"/>
    <w:rsid w:val="005B3A92"/>
    <w:rsid w:val="005B3BE1"/>
    <w:rsid w:val="005B3E39"/>
    <w:rsid w:val="005B42D3"/>
    <w:rsid w:val="005B5339"/>
    <w:rsid w:val="005B56E7"/>
    <w:rsid w:val="005B5762"/>
    <w:rsid w:val="005B58C2"/>
    <w:rsid w:val="005B5A69"/>
    <w:rsid w:val="005B5BB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7E"/>
    <w:rsid w:val="005C4F9B"/>
    <w:rsid w:val="005C538F"/>
    <w:rsid w:val="005C5BCC"/>
    <w:rsid w:val="005C6288"/>
    <w:rsid w:val="005C676D"/>
    <w:rsid w:val="005C6B1D"/>
    <w:rsid w:val="005C75F5"/>
    <w:rsid w:val="005C761D"/>
    <w:rsid w:val="005D0287"/>
    <w:rsid w:val="005D0BE6"/>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9"/>
    <w:rsid w:val="005D4BAA"/>
    <w:rsid w:val="005D570D"/>
    <w:rsid w:val="005D5776"/>
    <w:rsid w:val="005D5B6A"/>
    <w:rsid w:val="005D5D8D"/>
    <w:rsid w:val="005D6345"/>
    <w:rsid w:val="005D6390"/>
    <w:rsid w:val="005D6518"/>
    <w:rsid w:val="005D68A5"/>
    <w:rsid w:val="005D6B58"/>
    <w:rsid w:val="005D6DDB"/>
    <w:rsid w:val="005D700F"/>
    <w:rsid w:val="005D738D"/>
    <w:rsid w:val="005D7725"/>
    <w:rsid w:val="005D7923"/>
    <w:rsid w:val="005E01C8"/>
    <w:rsid w:val="005E01CB"/>
    <w:rsid w:val="005E0497"/>
    <w:rsid w:val="005E04EF"/>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5A8"/>
    <w:rsid w:val="005E4E14"/>
    <w:rsid w:val="005E592C"/>
    <w:rsid w:val="005E5D00"/>
    <w:rsid w:val="005E5F67"/>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8F0"/>
    <w:rsid w:val="005F49F9"/>
    <w:rsid w:val="005F5080"/>
    <w:rsid w:val="005F5239"/>
    <w:rsid w:val="005F57BC"/>
    <w:rsid w:val="005F5902"/>
    <w:rsid w:val="005F5942"/>
    <w:rsid w:val="005F5DF7"/>
    <w:rsid w:val="005F5E73"/>
    <w:rsid w:val="005F5E95"/>
    <w:rsid w:val="005F62FB"/>
    <w:rsid w:val="005F6998"/>
    <w:rsid w:val="005F6D1D"/>
    <w:rsid w:val="005F6E84"/>
    <w:rsid w:val="005F76C2"/>
    <w:rsid w:val="005F7A19"/>
    <w:rsid w:val="005F7C91"/>
    <w:rsid w:val="005F7D66"/>
    <w:rsid w:val="005F7DD1"/>
    <w:rsid w:val="005F7DEF"/>
    <w:rsid w:val="005F7FDA"/>
    <w:rsid w:val="006001FB"/>
    <w:rsid w:val="00600246"/>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628"/>
    <w:rsid w:val="006057C4"/>
    <w:rsid w:val="00605ABC"/>
    <w:rsid w:val="00605E70"/>
    <w:rsid w:val="00606290"/>
    <w:rsid w:val="006067A4"/>
    <w:rsid w:val="00606985"/>
    <w:rsid w:val="00606D00"/>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059"/>
    <w:rsid w:val="006211A5"/>
    <w:rsid w:val="00621225"/>
    <w:rsid w:val="006212FD"/>
    <w:rsid w:val="006225A2"/>
    <w:rsid w:val="006225CA"/>
    <w:rsid w:val="006229F6"/>
    <w:rsid w:val="00622A0B"/>
    <w:rsid w:val="00623368"/>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3FF"/>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3F6"/>
    <w:rsid w:val="00636E05"/>
    <w:rsid w:val="00637603"/>
    <w:rsid w:val="0063776F"/>
    <w:rsid w:val="00637971"/>
    <w:rsid w:val="00637A09"/>
    <w:rsid w:val="00640165"/>
    <w:rsid w:val="006405B9"/>
    <w:rsid w:val="00640FAB"/>
    <w:rsid w:val="00641C98"/>
    <w:rsid w:val="00641CD3"/>
    <w:rsid w:val="00642018"/>
    <w:rsid w:val="006420C2"/>
    <w:rsid w:val="0064299F"/>
    <w:rsid w:val="0064317E"/>
    <w:rsid w:val="00643598"/>
    <w:rsid w:val="00643704"/>
    <w:rsid w:val="00643763"/>
    <w:rsid w:val="00643A4C"/>
    <w:rsid w:val="00643C62"/>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84B"/>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57FEC"/>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23F"/>
    <w:rsid w:val="0066383F"/>
    <w:rsid w:val="00663A11"/>
    <w:rsid w:val="00663A4E"/>
    <w:rsid w:val="00663E77"/>
    <w:rsid w:val="0066418D"/>
    <w:rsid w:val="0066427F"/>
    <w:rsid w:val="00664829"/>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5A5"/>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38F"/>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8F"/>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9EC"/>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9CD"/>
    <w:rsid w:val="006E3F73"/>
    <w:rsid w:val="006E4210"/>
    <w:rsid w:val="006E43F4"/>
    <w:rsid w:val="006E48A1"/>
    <w:rsid w:val="006E492B"/>
    <w:rsid w:val="006E4983"/>
    <w:rsid w:val="006E4A0B"/>
    <w:rsid w:val="006E4A3C"/>
    <w:rsid w:val="006E4BC7"/>
    <w:rsid w:val="006E4CB7"/>
    <w:rsid w:val="006E4DC6"/>
    <w:rsid w:val="006E4F59"/>
    <w:rsid w:val="006E52DD"/>
    <w:rsid w:val="006E58FB"/>
    <w:rsid w:val="006E5A82"/>
    <w:rsid w:val="006E6587"/>
    <w:rsid w:val="006E6B1E"/>
    <w:rsid w:val="006E6B92"/>
    <w:rsid w:val="006E7148"/>
    <w:rsid w:val="006E7285"/>
    <w:rsid w:val="006E7A34"/>
    <w:rsid w:val="006F0486"/>
    <w:rsid w:val="006F05A7"/>
    <w:rsid w:val="006F0683"/>
    <w:rsid w:val="006F0EB6"/>
    <w:rsid w:val="006F1086"/>
    <w:rsid w:val="006F115A"/>
    <w:rsid w:val="006F1805"/>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331C"/>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E3"/>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7A1"/>
    <w:rsid w:val="00723CE9"/>
    <w:rsid w:val="00724021"/>
    <w:rsid w:val="0072431A"/>
    <w:rsid w:val="007243CC"/>
    <w:rsid w:val="00724435"/>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8E9"/>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13B"/>
    <w:rsid w:val="007624FC"/>
    <w:rsid w:val="007625A3"/>
    <w:rsid w:val="0076278D"/>
    <w:rsid w:val="00762A3E"/>
    <w:rsid w:val="00762E0D"/>
    <w:rsid w:val="0076357F"/>
    <w:rsid w:val="00763BE1"/>
    <w:rsid w:val="00763C34"/>
    <w:rsid w:val="007641C7"/>
    <w:rsid w:val="007651EF"/>
    <w:rsid w:val="007653A0"/>
    <w:rsid w:val="00765425"/>
    <w:rsid w:val="00765718"/>
    <w:rsid w:val="007659D7"/>
    <w:rsid w:val="00765A86"/>
    <w:rsid w:val="00765B77"/>
    <w:rsid w:val="00765FCD"/>
    <w:rsid w:val="00766297"/>
    <w:rsid w:val="007664CC"/>
    <w:rsid w:val="0076653E"/>
    <w:rsid w:val="0076672D"/>
    <w:rsid w:val="00766A18"/>
    <w:rsid w:val="00767236"/>
    <w:rsid w:val="0076767C"/>
    <w:rsid w:val="00767AD9"/>
    <w:rsid w:val="00770668"/>
    <w:rsid w:val="0077091A"/>
    <w:rsid w:val="00770A9D"/>
    <w:rsid w:val="0077138C"/>
    <w:rsid w:val="0077150B"/>
    <w:rsid w:val="00771535"/>
    <w:rsid w:val="007715A3"/>
    <w:rsid w:val="00771722"/>
    <w:rsid w:val="00771DC1"/>
    <w:rsid w:val="0077276D"/>
    <w:rsid w:val="007727F9"/>
    <w:rsid w:val="00772C77"/>
    <w:rsid w:val="00772EA1"/>
    <w:rsid w:val="00772F04"/>
    <w:rsid w:val="00773419"/>
    <w:rsid w:val="00773504"/>
    <w:rsid w:val="007736B9"/>
    <w:rsid w:val="00773794"/>
    <w:rsid w:val="00773835"/>
    <w:rsid w:val="00773BA6"/>
    <w:rsid w:val="00773E84"/>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164"/>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422"/>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3FB"/>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57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4F9"/>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B69"/>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77D"/>
    <w:rsid w:val="007D3860"/>
    <w:rsid w:val="007D393B"/>
    <w:rsid w:val="007D3D08"/>
    <w:rsid w:val="007D3D7B"/>
    <w:rsid w:val="007D4A87"/>
    <w:rsid w:val="007D4CF0"/>
    <w:rsid w:val="007D4FC6"/>
    <w:rsid w:val="007D54CF"/>
    <w:rsid w:val="007D58D3"/>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02"/>
    <w:rsid w:val="007F5A7C"/>
    <w:rsid w:val="007F5FF4"/>
    <w:rsid w:val="007F6187"/>
    <w:rsid w:val="007F61AC"/>
    <w:rsid w:val="007F63C3"/>
    <w:rsid w:val="007F649C"/>
    <w:rsid w:val="007F675C"/>
    <w:rsid w:val="007F69C8"/>
    <w:rsid w:val="007F6E96"/>
    <w:rsid w:val="007F6F78"/>
    <w:rsid w:val="007F7504"/>
    <w:rsid w:val="007F794A"/>
    <w:rsid w:val="007F7C17"/>
    <w:rsid w:val="007F7D93"/>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6F"/>
    <w:rsid w:val="00803787"/>
    <w:rsid w:val="00803AF6"/>
    <w:rsid w:val="00803B34"/>
    <w:rsid w:val="00803DB4"/>
    <w:rsid w:val="008041F4"/>
    <w:rsid w:val="008042B5"/>
    <w:rsid w:val="008046F4"/>
    <w:rsid w:val="008056C2"/>
    <w:rsid w:val="0080575D"/>
    <w:rsid w:val="008057CA"/>
    <w:rsid w:val="00805C3C"/>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C9C"/>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40B"/>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773"/>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E67"/>
    <w:rsid w:val="0088434F"/>
    <w:rsid w:val="00884669"/>
    <w:rsid w:val="00884B21"/>
    <w:rsid w:val="00884C13"/>
    <w:rsid w:val="00884E4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511"/>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77F"/>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0AF"/>
    <w:rsid w:val="008B43B8"/>
    <w:rsid w:val="008B4922"/>
    <w:rsid w:val="008B4D73"/>
    <w:rsid w:val="008B5CB8"/>
    <w:rsid w:val="008B6800"/>
    <w:rsid w:val="008B68E6"/>
    <w:rsid w:val="008B6A5D"/>
    <w:rsid w:val="008B7196"/>
    <w:rsid w:val="008B754C"/>
    <w:rsid w:val="008C016C"/>
    <w:rsid w:val="008C03D7"/>
    <w:rsid w:val="008C0AB4"/>
    <w:rsid w:val="008C14B5"/>
    <w:rsid w:val="008C1C64"/>
    <w:rsid w:val="008C1D7D"/>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5E9"/>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7F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3CF"/>
    <w:rsid w:val="00907F1B"/>
    <w:rsid w:val="00910797"/>
    <w:rsid w:val="0091094E"/>
    <w:rsid w:val="00910A71"/>
    <w:rsid w:val="009113FB"/>
    <w:rsid w:val="009118BC"/>
    <w:rsid w:val="009118E5"/>
    <w:rsid w:val="00911B40"/>
    <w:rsid w:val="00912446"/>
    <w:rsid w:val="00912C7C"/>
    <w:rsid w:val="00912EEC"/>
    <w:rsid w:val="0091301E"/>
    <w:rsid w:val="0091364E"/>
    <w:rsid w:val="00913B5B"/>
    <w:rsid w:val="009149B0"/>
    <w:rsid w:val="00914B1A"/>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2C86"/>
    <w:rsid w:val="00923581"/>
    <w:rsid w:val="009235A2"/>
    <w:rsid w:val="00923641"/>
    <w:rsid w:val="00923AEA"/>
    <w:rsid w:val="00923BEE"/>
    <w:rsid w:val="0092516C"/>
    <w:rsid w:val="00925309"/>
    <w:rsid w:val="0092549B"/>
    <w:rsid w:val="009256B8"/>
    <w:rsid w:val="009256D3"/>
    <w:rsid w:val="009258D5"/>
    <w:rsid w:val="00925DBF"/>
    <w:rsid w:val="00925F10"/>
    <w:rsid w:val="009263F7"/>
    <w:rsid w:val="00926931"/>
    <w:rsid w:val="00926DC7"/>
    <w:rsid w:val="00926ED5"/>
    <w:rsid w:val="00926F8D"/>
    <w:rsid w:val="00927005"/>
    <w:rsid w:val="009273AF"/>
    <w:rsid w:val="0092778C"/>
    <w:rsid w:val="009277AA"/>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93"/>
    <w:rsid w:val="009361E8"/>
    <w:rsid w:val="009362FC"/>
    <w:rsid w:val="009363AE"/>
    <w:rsid w:val="0093692D"/>
    <w:rsid w:val="009369B8"/>
    <w:rsid w:val="00937C1B"/>
    <w:rsid w:val="009400D1"/>
    <w:rsid w:val="00940514"/>
    <w:rsid w:val="00940654"/>
    <w:rsid w:val="009407C4"/>
    <w:rsid w:val="00940C9D"/>
    <w:rsid w:val="00940D56"/>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9A4"/>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4A"/>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AEC"/>
    <w:rsid w:val="00957E2A"/>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5E3"/>
    <w:rsid w:val="009708CA"/>
    <w:rsid w:val="009711F5"/>
    <w:rsid w:val="009716F0"/>
    <w:rsid w:val="00972289"/>
    <w:rsid w:val="0097234E"/>
    <w:rsid w:val="0097291B"/>
    <w:rsid w:val="00972DAA"/>
    <w:rsid w:val="00972E8C"/>
    <w:rsid w:val="009732FF"/>
    <w:rsid w:val="009736CB"/>
    <w:rsid w:val="00973AA2"/>
    <w:rsid w:val="00973C20"/>
    <w:rsid w:val="0097441A"/>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BFE"/>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5"/>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0E"/>
    <w:rsid w:val="00993521"/>
    <w:rsid w:val="009939C7"/>
    <w:rsid w:val="00993AD0"/>
    <w:rsid w:val="00993CBC"/>
    <w:rsid w:val="00993E49"/>
    <w:rsid w:val="00994336"/>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7A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1C"/>
    <w:rsid w:val="009C0161"/>
    <w:rsid w:val="009C0229"/>
    <w:rsid w:val="009C022C"/>
    <w:rsid w:val="009C02D2"/>
    <w:rsid w:val="009C0580"/>
    <w:rsid w:val="009C091F"/>
    <w:rsid w:val="009C0CDA"/>
    <w:rsid w:val="009C0FD1"/>
    <w:rsid w:val="009C1145"/>
    <w:rsid w:val="009C17C0"/>
    <w:rsid w:val="009C1BCF"/>
    <w:rsid w:val="009C1C73"/>
    <w:rsid w:val="009C20FF"/>
    <w:rsid w:val="009C2581"/>
    <w:rsid w:val="009C27A2"/>
    <w:rsid w:val="009C2922"/>
    <w:rsid w:val="009C2BAA"/>
    <w:rsid w:val="009C2C9C"/>
    <w:rsid w:val="009C3275"/>
    <w:rsid w:val="009C347A"/>
    <w:rsid w:val="009C35DB"/>
    <w:rsid w:val="009C3DF3"/>
    <w:rsid w:val="009C40B4"/>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60E"/>
    <w:rsid w:val="009E68DE"/>
    <w:rsid w:val="009E698C"/>
    <w:rsid w:val="009E6BF7"/>
    <w:rsid w:val="009E6CD1"/>
    <w:rsid w:val="009E70EB"/>
    <w:rsid w:val="009E7217"/>
    <w:rsid w:val="009E7226"/>
    <w:rsid w:val="009E745A"/>
    <w:rsid w:val="009E76C8"/>
    <w:rsid w:val="009E7B67"/>
    <w:rsid w:val="009F006B"/>
    <w:rsid w:val="009F01A7"/>
    <w:rsid w:val="009F0808"/>
    <w:rsid w:val="009F0925"/>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3F1"/>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604"/>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17A98"/>
    <w:rsid w:val="00A205CD"/>
    <w:rsid w:val="00A20A48"/>
    <w:rsid w:val="00A214EC"/>
    <w:rsid w:val="00A21595"/>
    <w:rsid w:val="00A216D2"/>
    <w:rsid w:val="00A21B54"/>
    <w:rsid w:val="00A21E02"/>
    <w:rsid w:val="00A221F2"/>
    <w:rsid w:val="00A221F7"/>
    <w:rsid w:val="00A2262D"/>
    <w:rsid w:val="00A228FC"/>
    <w:rsid w:val="00A22A47"/>
    <w:rsid w:val="00A22CCE"/>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50B"/>
    <w:rsid w:val="00A32907"/>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76B"/>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EA9"/>
    <w:rsid w:val="00A6011C"/>
    <w:rsid w:val="00A60349"/>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D4"/>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1F72"/>
    <w:rsid w:val="00A720D0"/>
    <w:rsid w:val="00A7220D"/>
    <w:rsid w:val="00A7252D"/>
    <w:rsid w:val="00A72E99"/>
    <w:rsid w:val="00A730D1"/>
    <w:rsid w:val="00A73286"/>
    <w:rsid w:val="00A733FC"/>
    <w:rsid w:val="00A736E6"/>
    <w:rsid w:val="00A73C03"/>
    <w:rsid w:val="00A7437F"/>
    <w:rsid w:val="00A749BE"/>
    <w:rsid w:val="00A754FC"/>
    <w:rsid w:val="00A755EB"/>
    <w:rsid w:val="00A76022"/>
    <w:rsid w:val="00A7606F"/>
    <w:rsid w:val="00A76200"/>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EF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3E4"/>
    <w:rsid w:val="00A934E6"/>
    <w:rsid w:val="00A9376A"/>
    <w:rsid w:val="00A93D61"/>
    <w:rsid w:val="00A948B7"/>
    <w:rsid w:val="00A94BF4"/>
    <w:rsid w:val="00A94CE1"/>
    <w:rsid w:val="00A95078"/>
    <w:rsid w:val="00A9586D"/>
    <w:rsid w:val="00A958E0"/>
    <w:rsid w:val="00A95A02"/>
    <w:rsid w:val="00A95D03"/>
    <w:rsid w:val="00A962E9"/>
    <w:rsid w:val="00A96543"/>
    <w:rsid w:val="00A96F01"/>
    <w:rsid w:val="00A96FFF"/>
    <w:rsid w:val="00A9739E"/>
    <w:rsid w:val="00A975BD"/>
    <w:rsid w:val="00A976C7"/>
    <w:rsid w:val="00A977C3"/>
    <w:rsid w:val="00A9792B"/>
    <w:rsid w:val="00A97A63"/>
    <w:rsid w:val="00A97E57"/>
    <w:rsid w:val="00AA03B9"/>
    <w:rsid w:val="00AA05E1"/>
    <w:rsid w:val="00AA0664"/>
    <w:rsid w:val="00AA08AB"/>
    <w:rsid w:val="00AA0E79"/>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D66"/>
    <w:rsid w:val="00AB1ED1"/>
    <w:rsid w:val="00AB257D"/>
    <w:rsid w:val="00AB2E13"/>
    <w:rsid w:val="00AB3221"/>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A88"/>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B64"/>
    <w:rsid w:val="00AD314A"/>
    <w:rsid w:val="00AD3B68"/>
    <w:rsid w:val="00AD429D"/>
    <w:rsid w:val="00AD48A4"/>
    <w:rsid w:val="00AD4CB3"/>
    <w:rsid w:val="00AD4D87"/>
    <w:rsid w:val="00AD54B3"/>
    <w:rsid w:val="00AD553E"/>
    <w:rsid w:val="00AD5BEA"/>
    <w:rsid w:val="00AD5FC9"/>
    <w:rsid w:val="00AD6BB6"/>
    <w:rsid w:val="00AD6C3C"/>
    <w:rsid w:val="00AD6EF8"/>
    <w:rsid w:val="00AD75A0"/>
    <w:rsid w:val="00AD75C0"/>
    <w:rsid w:val="00AD766C"/>
    <w:rsid w:val="00AD7B87"/>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5FD6"/>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278"/>
    <w:rsid w:val="00AF24EC"/>
    <w:rsid w:val="00AF25E8"/>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32"/>
    <w:rsid w:val="00B0389E"/>
    <w:rsid w:val="00B03B0E"/>
    <w:rsid w:val="00B046BE"/>
    <w:rsid w:val="00B04D7B"/>
    <w:rsid w:val="00B04EAD"/>
    <w:rsid w:val="00B05ACE"/>
    <w:rsid w:val="00B05ED5"/>
    <w:rsid w:val="00B06104"/>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5E0D"/>
    <w:rsid w:val="00B16AFB"/>
    <w:rsid w:val="00B16C6C"/>
    <w:rsid w:val="00B16F75"/>
    <w:rsid w:val="00B173DF"/>
    <w:rsid w:val="00B17698"/>
    <w:rsid w:val="00B17883"/>
    <w:rsid w:val="00B17DED"/>
    <w:rsid w:val="00B17E3D"/>
    <w:rsid w:val="00B20030"/>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CF6"/>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64"/>
    <w:rsid w:val="00B35FE3"/>
    <w:rsid w:val="00B36381"/>
    <w:rsid w:val="00B364BD"/>
    <w:rsid w:val="00B3660B"/>
    <w:rsid w:val="00B367F7"/>
    <w:rsid w:val="00B369A1"/>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1FA"/>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902"/>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0B7"/>
    <w:rsid w:val="00B758FB"/>
    <w:rsid w:val="00B75F99"/>
    <w:rsid w:val="00B76335"/>
    <w:rsid w:val="00B766BB"/>
    <w:rsid w:val="00B76762"/>
    <w:rsid w:val="00B76AB4"/>
    <w:rsid w:val="00B76D5C"/>
    <w:rsid w:val="00B76E39"/>
    <w:rsid w:val="00B77294"/>
    <w:rsid w:val="00B7731F"/>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442"/>
    <w:rsid w:val="00B8366C"/>
    <w:rsid w:val="00B83C7E"/>
    <w:rsid w:val="00B83F58"/>
    <w:rsid w:val="00B84404"/>
    <w:rsid w:val="00B84648"/>
    <w:rsid w:val="00B848F1"/>
    <w:rsid w:val="00B84943"/>
    <w:rsid w:val="00B84C12"/>
    <w:rsid w:val="00B84E29"/>
    <w:rsid w:val="00B8524E"/>
    <w:rsid w:val="00B85444"/>
    <w:rsid w:val="00B8545D"/>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052"/>
    <w:rsid w:val="00BA14E0"/>
    <w:rsid w:val="00BA1B72"/>
    <w:rsid w:val="00BA2024"/>
    <w:rsid w:val="00BA2287"/>
    <w:rsid w:val="00BA2388"/>
    <w:rsid w:val="00BA272B"/>
    <w:rsid w:val="00BA29A2"/>
    <w:rsid w:val="00BA3476"/>
    <w:rsid w:val="00BA3826"/>
    <w:rsid w:val="00BA3C56"/>
    <w:rsid w:val="00BA403D"/>
    <w:rsid w:val="00BA4613"/>
    <w:rsid w:val="00BA4F77"/>
    <w:rsid w:val="00BA5037"/>
    <w:rsid w:val="00BA5719"/>
    <w:rsid w:val="00BA5C36"/>
    <w:rsid w:val="00BA5F0E"/>
    <w:rsid w:val="00BA6067"/>
    <w:rsid w:val="00BA6726"/>
    <w:rsid w:val="00BA6849"/>
    <w:rsid w:val="00BA6A12"/>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5FA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BCF"/>
    <w:rsid w:val="00BE0D08"/>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5FAD"/>
    <w:rsid w:val="00BE6069"/>
    <w:rsid w:val="00BE6B51"/>
    <w:rsid w:val="00BE6E94"/>
    <w:rsid w:val="00BE7566"/>
    <w:rsid w:val="00BE7829"/>
    <w:rsid w:val="00BE7DF7"/>
    <w:rsid w:val="00BE7F45"/>
    <w:rsid w:val="00BF052B"/>
    <w:rsid w:val="00BF065A"/>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7ED"/>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2D4A"/>
    <w:rsid w:val="00C13089"/>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A65"/>
    <w:rsid w:val="00C21BB4"/>
    <w:rsid w:val="00C21C0D"/>
    <w:rsid w:val="00C21CDA"/>
    <w:rsid w:val="00C21DFE"/>
    <w:rsid w:val="00C22256"/>
    <w:rsid w:val="00C227B2"/>
    <w:rsid w:val="00C23CF3"/>
    <w:rsid w:val="00C24909"/>
    <w:rsid w:val="00C24D7B"/>
    <w:rsid w:val="00C25062"/>
    <w:rsid w:val="00C25D21"/>
    <w:rsid w:val="00C25D8E"/>
    <w:rsid w:val="00C25DEE"/>
    <w:rsid w:val="00C26075"/>
    <w:rsid w:val="00C26649"/>
    <w:rsid w:val="00C2667D"/>
    <w:rsid w:val="00C27050"/>
    <w:rsid w:val="00C27132"/>
    <w:rsid w:val="00C271DE"/>
    <w:rsid w:val="00C27273"/>
    <w:rsid w:val="00C27505"/>
    <w:rsid w:val="00C27643"/>
    <w:rsid w:val="00C2797B"/>
    <w:rsid w:val="00C27D56"/>
    <w:rsid w:val="00C27DD0"/>
    <w:rsid w:val="00C27E95"/>
    <w:rsid w:val="00C27EC6"/>
    <w:rsid w:val="00C300A6"/>
    <w:rsid w:val="00C3020D"/>
    <w:rsid w:val="00C30265"/>
    <w:rsid w:val="00C303CD"/>
    <w:rsid w:val="00C303E1"/>
    <w:rsid w:val="00C30489"/>
    <w:rsid w:val="00C3081F"/>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EB4"/>
    <w:rsid w:val="00C42FA4"/>
    <w:rsid w:val="00C4333D"/>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6982"/>
    <w:rsid w:val="00C46D47"/>
    <w:rsid w:val="00C4708A"/>
    <w:rsid w:val="00C472EB"/>
    <w:rsid w:val="00C47363"/>
    <w:rsid w:val="00C47954"/>
    <w:rsid w:val="00C5009D"/>
    <w:rsid w:val="00C5068D"/>
    <w:rsid w:val="00C50BEF"/>
    <w:rsid w:val="00C50CA3"/>
    <w:rsid w:val="00C50DC2"/>
    <w:rsid w:val="00C51193"/>
    <w:rsid w:val="00C512C8"/>
    <w:rsid w:val="00C51D5B"/>
    <w:rsid w:val="00C5321E"/>
    <w:rsid w:val="00C53CF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13C"/>
    <w:rsid w:val="00C62EEC"/>
    <w:rsid w:val="00C631DD"/>
    <w:rsid w:val="00C636DC"/>
    <w:rsid w:val="00C63879"/>
    <w:rsid w:val="00C63EA0"/>
    <w:rsid w:val="00C63F6F"/>
    <w:rsid w:val="00C644F7"/>
    <w:rsid w:val="00C64EA5"/>
    <w:rsid w:val="00C64F98"/>
    <w:rsid w:val="00C65244"/>
    <w:rsid w:val="00C652E9"/>
    <w:rsid w:val="00C65B5B"/>
    <w:rsid w:val="00C666C3"/>
    <w:rsid w:val="00C66970"/>
    <w:rsid w:val="00C67240"/>
    <w:rsid w:val="00C67A6F"/>
    <w:rsid w:val="00C67A81"/>
    <w:rsid w:val="00C67F1F"/>
    <w:rsid w:val="00C701A0"/>
    <w:rsid w:val="00C70268"/>
    <w:rsid w:val="00C70419"/>
    <w:rsid w:val="00C70934"/>
    <w:rsid w:val="00C70D8A"/>
    <w:rsid w:val="00C71B27"/>
    <w:rsid w:val="00C71C61"/>
    <w:rsid w:val="00C71D9F"/>
    <w:rsid w:val="00C71FE0"/>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39"/>
    <w:rsid w:val="00C760AC"/>
    <w:rsid w:val="00C76613"/>
    <w:rsid w:val="00C769AF"/>
    <w:rsid w:val="00C76CD9"/>
    <w:rsid w:val="00C76E30"/>
    <w:rsid w:val="00C809F2"/>
    <w:rsid w:val="00C80A10"/>
    <w:rsid w:val="00C80E02"/>
    <w:rsid w:val="00C80E7F"/>
    <w:rsid w:val="00C814EE"/>
    <w:rsid w:val="00C8164C"/>
    <w:rsid w:val="00C818AB"/>
    <w:rsid w:val="00C81F44"/>
    <w:rsid w:val="00C81F6F"/>
    <w:rsid w:val="00C82374"/>
    <w:rsid w:val="00C824D2"/>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730"/>
    <w:rsid w:val="00C97877"/>
    <w:rsid w:val="00C97A37"/>
    <w:rsid w:val="00C97B39"/>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0D2"/>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2D84"/>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9E4"/>
    <w:rsid w:val="00CF3C25"/>
    <w:rsid w:val="00CF4276"/>
    <w:rsid w:val="00CF44EF"/>
    <w:rsid w:val="00CF4B41"/>
    <w:rsid w:val="00CF50F0"/>
    <w:rsid w:val="00CF53BE"/>
    <w:rsid w:val="00CF55E0"/>
    <w:rsid w:val="00CF5CC0"/>
    <w:rsid w:val="00CF6108"/>
    <w:rsid w:val="00CF6753"/>
    <w:rsid w:val="00CF698E"/>
    <w:rsid w:val="00CF6EC5"/>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5E"/>
    <w:rsid w:val="00D104CE"/>
    <w:rsid w:val="00D1080E"/>
    <w:rsid w:val="00D10942"/>
    <w:rsid w:val="00D10AA9"/>
    <w:rsid w:val="00D10DE9"/>
    <w:rsid w:val="00D10EEA"/>
    <w:rsid w:val="00D112B3"/>
    <w:rsid w:val="00D113C5"/>
    <w:rsid w:val="00D11498"/>
    <w:rsid w:val="00D12CCF"/>
    <w:rsid w:val="00D12EFB"/>
    <w:rsid w:val="00D13166"/>
    <w:rsid w:val="00D13231"/>
    <w:rsid w:val="00D135AB"/>
    <w:rsid w:val="00D138D0"/>
    <w:rsid w:val="00D13A7D"/>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6E5"/>
    <w:rsid w:val="00D178DD"/>
    <w:rsid w:val="00D20853"/>
    <w:rsid w:val="00D20ADB"/>
    <w:rsid w:val="00D20E48"/>
    <w:rsid w:val="00D2146F"/>
    <w:rsid w:val="00D22047"/>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652"/>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BF0"/>
    <w:rsid w:val="00D33CCE"/>
    <w:rsid w:val="00D34177"/>
    <w:rsid w:val="00D348FD"/>
    <w:rsid w:val="00D34C6C"/>
    <w:rsid w:val="00D35060"/>
    <w:rsid w:val="00D3522A"/>
    <w:rsid w:val="00D3525D"/>
    <w:rsid w:val="00D361FE"/>
    <w:rsid w:val="00D3698B"/>
    <w:rsid w:val="00D370FC"/>
    <w:rsid w:val="00D37EEF"/>
    <w:rsid w:val="00D402DD"/>
    <w:rsid w:val="00D403AD"/>
    <w:rsid w:val="00D405BE"/>
    <w:rsid w:val="00D40A07"/>
    <w:rsid w:val="00D40A3C"/>
    <w:rsid w:val="00D41162"/>
    <w:rsid w:val="00D41F95"/>
    <w:rsid w:val="00D426E2"/>
    <w:rsid w:val="00D42798"/>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00F"/>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1FEC"/>
    <w:rsid w:val="00D62440"/>
    <w:rsid w:val="00D624D7"/>
    <w:rsid w:val="00D62FD6"/>
    <w:rsid w:val="00D6302F"/>
    <w:rsid w:val="00D630AC"/>
    <w:rsid w:val="00D630C1"/>
    <w:rsid w:val="00D63134"/>
    <w:rsid w:val="00D63285"/>
    <w:rsid w:val="00D6353B"/>
    <w:rsid w:val="00D63811"/>
    <w:rsid w:val="00D63A06"/>
    <w:rsid w:val="00D63F0A"/>
    <w:rsid w:val="00D6414A"/>
    <w:rsid w:val="00D642CE"/>
    <w:rsid w:val="00D6468F"/>
    <w:rsid w:val="00D64DE0"/>
    <w:rsid w:val="00D657C1"/>
    <w:rsid w:val="00D65AEB"/>
    <w:rsid w:val="00D65B55"/>
    <w:rsid w:val="00D65D40"/>
    <w:rsid w:val="00D65DC2"/>
    <w:rsid w:val="00D65E15"/>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4C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784"/>
    <w:rsid w:val="00D938F8"/>
    <w:rsid w:val="00D93D8B"/>
    <w:rsid w:val="00D93EC2"/>
    <w:rsid w:val="00D94107"/>
    <w:rsid w:val="00D9420C"/>
    <w:rsid w:val="00D94932"/>
    <w:rsid w:val="00D94A5B"/>
    <w:rsid w:val="00D94D06"/>
    <w:rsid w:val="00D95A38"/>
    <w:rsid w:val="00D96B79"/>
    <w:rsid w:val="00D96F29"/>
    <w:rsid w:val="00D9742F"/>
    <w:rsid w:val="00D978A7"/>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57E"/>
    <w:rsid w:val="00DC4A3A"/>
    <w:rsid w:val="00DC4FD6"/>
    <w:rsid w:val="00DC50D0"/>
    <w:rsid w:val="00DC548A"/>
    <w:rsid w:val="00DC565A"/>
    <w:rsid w:val="00DC6233"/>
    <w:rsid w:val="00DC66A9"/>
    <w:rsid w:val="00DC6955"/>
    <w:rsid w:val="00DC6A6A"/>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BA6"/>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11"/>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13A"/>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4DC"/>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5E"/>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A0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4AE"/>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6DDE"/>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A29"/>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68A5"/>
    <w:rsid w:val="00E97081"/>
    <w:rsid w:val="00E97245"/>
    <w:rsid w:val="00E972D9"/>
    <w:rsid w:val="00E97FE7"/>
    <w:rsid w:val="00EA0078"/>
    <w:rsid w:val="00EA063E"/>
    <w:rsid w:val="00EA0781"/>
    <w:rsid w:val="00EA0917"/>
    <w:rsid w:val="00EA12B5"/>
    <w:rsid w:val="00EA14D4"/>
    <w:rsid w:val="00EA14DE"/>
    <w:rsid w:val="00EA1BAC"/>
    <w:rsid w:val="00EA1C64"/>
    <w:rsid w:val="00EA1FC0"/>
    <w:rsid w:val="00EA2670"/>
    <w:rsid w:val="00EA2981"/>
    <w:rsid w:val="00EA2F17"/>
    <w:rsid w:val="00EA2FFB"/>
    <w:rsid w:val="00EA3165"/>
    <w:rsid w:val="00EA3369"/>
    <w:rsid w:val="00EA356D"/>
    <w:rsid w:val="00EA361E"/>
    <w:rsid w:val="00EA36E6"/>
    <w:rsid w:val="00EA38B6"/>
    <w:rsid w:val="00EA390E"/>
    <w:rsid w:val="00EA3D84"/>
    <w:rsid w:val="00EA46F1"/>
    <w:rsid w:val="00EA4A59"/>
    <w:rsid w:val="00EA536B"/>
    <w:rsid w:val="00EA598A"/>
    <w:rsid w:val="00EA5DDC"/>
    <w:rsid w:val="00EA613C"/>
    <w:rsid w:val="00EA631E"/>
    <w:rsid w:val="00EA6E77"/>
    <w:rsid w:val="00EA70B7"/>
    <w:rsid w:val="00EA76B0"/>
    <w:rsid w:val="00EA78DB"/>
    <w:rsid w:val="00EA7FE6"/>
    <w:rsid w:val="00EB056D"/>
    <w:rsid w:val="00EB08DF"/>
    <w:rsid w:val="00EB0A5F"/>
    <w:rsid w:val="00EB0BE0"/>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470"/>
    <w:rsid w:val="00ED16A1"/>
    <w:rsid w:val="00ED1E6A"/>
    <w:rsid w:val="00ED20E9"/>
    <w:rsid w:val="00ED24B8"/>
    <w:rsid w:val="00ED24C0"/>
    <w:rsid w:val="00ED2A5C"/>
    <w:rsid w:val="00ED2CAA"/>
    <w:rsid w:val="00ED2DA2"/>
    <w:rsid w:val="00ED2E8C"/>
    <w:rsid w:val="00ED2F37"/>
    <w:rsid w:val="00ED3933"/>
    <w:rsid w:val="00ED398A"/>
    <w:rsid w:val="00ED3EDA"/>
    <w:rsid w:val="00ED3EF4"/>
    <w:rsid w:val="00ED3EFD"/>
    <w:rsid w:val="00ED47AE"/>
    <w:rsid w:val="00ED4C04"/>
    <w:rsid w:val="00ED4F1E"/>
    <w:rsid w:val="00ED52FB"/>
    <w:rsid w:val="00ED56EF"/>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0DA6"/>
    <w:rsid w:val="00EE1BFA"/>
    <w:rsid w:val="00EE1F22"/>
    <w:rsid w:val="00EE2148"/>
    <w:rsid w:val="00EE2172"/>
    <w:rsid w:val="00EE21AD"/>
    <w:rsid w:val="00EE313C"/>
    <w:rsid w:val="00EE3196"/>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1D6"/>
    <w:rsid w:val="00EF4460"/>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580"/>
    <w:rsid w:val="00F12C4A"/>
    <w:rsid w:val="00F12D76"/>
    <w:rsid w:val="00F12FB1"/>
    <w:rsid w:val="00F13AFA"/>
    <w:rsid w:val="00F13C63"/>
    <w:rsid w:val="00F13E7D"/>
    <w:rsid w:val="00F14741"/>
    <w:rsid w:val="00F1507F"/>
    <w:rsid w:val="00F153D2"/>
    <w:rsid w:val="00F153FF"/>
    <w:rsid w:val="00F160D8"/>
    <w:rsid w:val="00F16356"/>
    <w:rsid w:val="00F1638A"/>
    <w:rsid w:val="00F168D6"/>
    <w:rsid w:val="00F16CB3"/>
    <w:rsid w:val="00F16EA5"/>
    <w:rsid w:val="00F171C0"/>
    <w:rsid w:val="00F1745A"/>
    <w:rsid w:val="00F174C6"/>
    <w:rsid w:val="00F17A40"/>
    <w:rsid w:val="00F17DBB"/>
    <w:rsid w:val="00F2050D"/>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57D"/>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7C1"/>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71D"/>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7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594"/>
    <w:rsid w:val="00F81CE9"/>
    <w:rsid w:val="00F825CC"/>
    <w:rsid w:val="00F82694"/>
    <w:rsid w:val="00F826ED"/>
    <w:rsid w:val="00F82D5B"/>
    <w:rsid w:val="00F82F9E"/>
    <w:rsid w:val="00F832E5"/>
    <w:rsid w:val="00F83A90"/>
    <w:rsid w:val="00F84046"/>
    <w:rsid w:val="00F842BF"/>
    <w:rsid w:val="00F84438"/>
    <w:rsid w:val="00F8459E"/>
    <w:rsid w:val="00F84699"/>
    <w:rsid w:val="00F84766"/>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3F7"/>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9A1"/>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08"/>
    <w:rsid w:val="00FC3FCD"/>
    <w:rsid w:val="00FC4056"/>
    <w:rsid w:val="00FC4584"/>
    <w:rsid w:val="00FC4F4B"/>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42D"/>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1C8"/>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B2"/>
    <w:rsid w:val="00FF50FF"/>
    <w:rsid w:val="00FF5192"/>
    <w:rsid w:val="00FF559E"/>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10"/>
      </w:numPr>
      <w:ind w:left="1701" w:hanging="1701"/>
    </w:pPr>
  </w:style>
  <w:style w:type="character" w:styleId="PlaceholderText">
    <w:name w:val="Placeholder Text"/>
    <w:basedOn w:val="DefaultParagraphFont"/>
    <w:uiPriority w:val="99"/>
    <w:semiHidden/>
    <w:rsid w:val="00F770F9"/>
    <w:rPr>
      <w:color w:val="808080"/>
    </w:rPr>
  </w:style>
  <w:style w:type="paragraph" w:styleId="TableofFigures">
    <w:name w:val="table of figures"/>
    <w:basedOn w:val="Normal"/>
    <w:next w:val="Normal"/>
    <w:uiPriority w:val="99"/>
    <w:unhideWhenUsed/>
    <w:rsid w:val="00C6213C"/>
    <w:pPr>
      <w:spacing w:after="0"/>
    </w:pPr>
  </w:style>
  <w:style w:type="paragraph" w:customStyle="1" w:styleId="3GPPHeader">
    <w:name w:val="3GPP_Header"/>
    <w:basedOn w:val="Normal"/>
    <w:rsid w:val="0030166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8203815">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7274719">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278113">
      <w:bodyDiv w:val="1"/>
      <w:marLeft w:val="0"/>
      <w:marRight w:val="0"/>
      <w:marTop w:val="0"/>
      <w:marBottom w:val="0"/>
      <w:divBdr>
        <w:top w:val="none" w:sz="0" w:space="0" w:color="auto"/>
        <w:left w:val="none" w:sz="0" w:space="0" w:color="auto"/>
        <w:bottom w:val="none" w:sz="0" w:space="0" w:color="auto"/>
        <w:right w:val="none" w:sz="0" w:space="0" w:color="auto"/>
      </w:divBdr>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37183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hdawireless.com/Portals/0/MK5_OBU_101220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2018-02-16T14:37:00Z</dcterms:created>
  <dcterms:modified xsi:type="dcterms:W3CDTF">2018-02-16T14:37:00Z</dcterms:modified>
</cp:coreProperties>
</file>